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00" w:lineRule="exact"/>
        <w:ind w:left="0" w:right="0" w:firstLine="0" w:firstLineChars="0"/>
        <w:jc w:val="center"/>
        <w:rPr>
          <w:rFonts w:hint="eastAsia" w:ascii="仿宋_GB2312" w:hAnsi="仿宋_GB2312" w:eastAsia="仿宋_GB2312" w:cs="仿宋_GB2312"/>
          <w:sz w:val="32"/>
          <w:szCs w:val="32"/>
          <w:lang w:val="en-US"/>
        </w:rPr>
      </w:pPr>
      <w:r>
        <w:rPr>
          <w:rFonts w:hint="eastAsia" w:ascii="方正小标宋简体" w:hAnsi="方正小标宋简体" w:eastAsia="方正小标宋简体" w:cs="方正小标宋简体"/>
          <w:kern w:val="2"/>
          <w:sz w:val="44"/>
          <w:szCs w:val="44"/>
          <w:lang w:val="en-US" w:eastAsia="zh-CN" w:bidi="ar"/>
        </w:rPr>
        <w:t>西岗区食品药品安全“十四五”规划</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食品药品安全关系人民群众身体健康和生命安全，关系中华民族未来。党的十九大报告明确提出“实施食品安全战略，让人民吃得放心”。这是党中央着眼党和国家事业全局，对食品药品安全工作作出的重大部署，是决胜全面建成小康社会、全面建设社会主义现代化国家的重大任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Calibri" w:hAnsi="Calibri" w:eastAsia="仿宋_GB2312" w:cs="仿宋_GB2312"/>
          <w:kern w:val="2"/>
          <w:sz w:val="32"/>
          <w:szCs w:val="32"/>
          <w:lang w:val="en-US" w:eastAsia="zh-CN" w:bidi="ar"/>
        </w:rPr>
        <w:t>为指导西岗区在“十四五”期间高效开展食品药品安全工作，准确把握未来发展趋势，保障人民群众饮食用药安全，促进全区食品药品行业健康发展，西岗区从</w:t>
      </w:r>
      <w:r>
        <w:rPr>
          <w:rFonts w:hint="eastAsia" w:ascii="仿宋_GB2312" w:hAnsi="仿宋_GB2312" w:eastAsia="仿宋_GB2312" w:cs="仿宋_GB2312"/>
          <w:kern w:val="2"/>
          <w:sz w:val="32"/>
          <w:szCs w:val="32"/>
          <w:lang w:val="en-US" w:eastAsia="zh-CN" w:bidi="ar"/>
        </w:rPr>
        <w:t>统筹全局、整体推进，结合实际、突出重点的角度和区域改革发展全局出发，兼顾单项任务的执行和落实情况，统筹考虑相关制度的集成效果，结合</w:t>
      </w:r>
      <w:r>
        <w:rPr>
          <w:rFonts w:hint="eastAsia" w:ascii="Calibri" w:hAnsi="Calibri" w:eastAsia="仿宋_GB2312" w:cs="仿宋_GB2312"/>
          <w:kern w:val="2"/>
          <w:sz w:val="32"/>
          <w:szCs w:val="32"/>
          <w:lang w:val="en-US" w:eastAsia="zh-CN" w:bidi="ar"/>
        </w:rPr>
        <w:t>当前所处形势，特制定此规划。</w:t>
      </w:r>
    </w:p>
    <w:p>
      <w:pPr>
        <w:keepNext w:val="0"/>
        <w:keepLines w:val="0"/>
        <w:pageBreakBefore w:val="0"/>
        <w:widowControl w:val="0"/>
        <w:numPr>
          <w:ilvl w:val="0"/>
          <w:numId w:val="1"/>
        </w:numPr>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发展基础和面临形势</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sz w:val="32"/>
          <w:szCs w:val="32"/>
          <w:lang w:val="en-US"/>
        </w:rPr>
      </w:pPr>
      <w:r>
        <w:rPr>
          <w:rFonts w:hint="eastAsia" w:ascii="Calibri" w:hAnsi="Calibri" w:eastAsia="仿宋_GB2312" w:cs="仿宋_GB2312"/>
          <w:kern w:val="2"/>
          <w:sz w:val="32"/>
          <w:szCs w:val="32"/>
          <w:lang w:val="en-US" w:eastAsia="zh-CN" w:bidi="ar"/>
        </w:rPr>
        <w:t>十三五期间，我区围绕食品安全“六大治理体系”，以全力保障人民群众饮食安全为中心，针对日常监管中发现的重点、难点问题以及风险隐患，实施食品药品安全重点工程，健全食品安全监管体系，引导社会广泛参与食品安全治理，构建“四位一体”的食品安全新格局。</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sz w:val="32"/>
          <w:szCs w:val="32"/>
          <w:lang w:val="en-US"/>
        </w:rPr>
      </w:pPr>
      <w:r>
        <w:rPr>
          <w:rFonts w:hint="eastAsia" w:ascii="Calibri" w:hAnsi="Calibri" w:eastAsia="仿宋_GB2312" w:cs="仿宋_GB2312"/>
          <w:kern w:val="2"/>
          <w:sz w:val="32"/>
          <w:szCs w:val="32"/>
          <w:lang w:val="en-US" w:eastAsia="zh-CN" w:bidi="ar"/>
        </w:rPr>
        <w:t>按照坚持党政同责，落实政府属地管理责任的原则，根据上级的部署，主动谋划，推动食品安全属地责任有效落实。将食品安全工作列入践行“不忘初心、牢记使命”主题教育重点工作。制定了《西岗区党政领导干部食品安全责任制清单》，按照分片包干原则对所有的党政领导干部进行了食品安全包片分工，责任到人，全面落实了食品安全属地责任。将食品安全纳入领导干部工作实绩考核体系。着眼长效机制建设。修订了《大连市西岗区人民政府食品安全委员会工作规则》，制定了《西岗区食品安全建设年实施方案》《西岗区整治食品安全联合行动专项整治方案》等多个文件。推进落实食品安全属地责任，重点发挥了街道食品安全机构作用。依托街道层面设立的食品安全科室，实现了在街道、各社区开展食品安全工作“有责、有岗、有人、有手段”，有效带动了全区食品安全工作从部门监管为主全面转入“党委政府主导”的阶段，推动基层食品安全工作下沉到街道层面。依托街道社区体系动员多方力量参与食品安全共建共享，也织密了食品安全治理网络，增强了基层参与创建工作的力量。</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sz w:val="32"/>
          <w:szCs w:val="32"/>
          <w:lang w:val="en-US"/>
        </w:rPr>
      </w:pPr>
      <w:r>
        <w:rPr>
          <w:rFonts w:hint="eastAsia" w:ascii="Calibri" w:hAnsi="Calibri" w:eastAsia="仿宋_GB2312" w:cs="仿宋_GB2312"/>
          <w:kern w:val="2"/>
          <w:sz w:val="32"/>
          <w:szCs w:val="32"/>
          <w:lang w:val="en-US" w:eastAsia="zh-CN" w:bidi="ar"/>
        </w:rPr>
        <w:t>加强对“三小”、食用农产品质量安全等的监管。将食品安全有关工作列入重点民生工程项目，建成了</w:t>
      </w:r>
      <w:r>
        <w:rPr>
          <w:rFonts w:hint="default" w:ascii="Calibri" w:hAnsi="Calibri" w:eastAsia="仿宋_GB2312" w:cs="Times New Roman"/>
          <w:kern w:val="2"/>
          <w:sz w:val="32"/>
          <w:szCs w:val="32"/>
          <w:lang w:val="en-US" w:eastAsia="zh-CN" w:bidi="ar"/>
        </w:rPr>
        <w:t>7</w:t>
      </w:r>
      <w:r>
        <w:rPr>
          <w:rFonts w:hint="eastAsia" w:ascii="Calibri" w:hAnsi="Calibri" w:eastAsia="仿宋_GB2312" w:cs="仿宋_GB2312"/>
          <w:kern w:val="2"/>
          <w:sz w:val="32"/>
          <w:szCs w:val="32"/>
          <w:lang w:val="en-US" w:eastAsia="zh-CN" w:bidi="ar"/>
        </w:rPr>
        <w:t>处食品安全主题广场、</w:t>
      </w:r>
      <w:r>
        <w:rPr>
          <w:rFonts w:hint="default" w:ascii="Calibri" w:hAnsi="Calibri" w:eastAsia="仿宋_GB2312" w:cs="Times New Roman"/>
          <w:kern w:val="2"/>
          <w:sz w:val="32"/>
          <w:szCs w:val="32"/>
          <w:lang w:val="en-US" w:eastAsia="zh-CN" w:bidi="ar"/>
        </w:rPr>
        <w:t>100</w:t>
      </w:r>
      <w:r>
        <w:rPr>
          <w:rFonts w:hint="eastAsia" w:ascii="Calibri" w:hAnsi="Calibri" w:eastAsia="仿宋_GB2312" w:cs="仿宋_GB2312"/>
          <w:kern w:val="2"/>
          <w:sz w:val="32"/>
          <w:szCs w:val="32"/>
          <w:lang w:val="en-US" w:eastAsia="zh-CN" w:bidi="ar"/>
        </w:rPr>
        <w:t>处食品安全楼院；在每个社区建立食药安全工作室；开展食品安全宣教活动。同时建设了</w:t>
      </w:r>
      <w:r>
        <w:rPr>
          <w:rFonts w:hint="default" w:ascii="Calibri" w:hAnsi="Calibri" w:eastAsia="仿宋_GB2312" w:cs="Times New Roman"/>
          <w:kern w:val="2"/>
          <w:sz w:val="32"/>
          <w:szCs w:val="32"/>
          <w:lang w:val="en-US" w:eastAsia="zh-CN" w:bidi="ar"/>
        </w:rPr>
        <w:t>1</w:t>
      </w:r>
      <w:r>
        <w:rPr>
          <w:rFonts w:hint="eastAsia" w:ascii="Calibri" w:hAnsi="Calibri" w:eastAsia="仿宋_GB2312" w:cs="仿宋_GB2312"/>
          <w:kern w:val="2"/>
          <w:sz w:val="32"/>
          <w:szCs w:val="32"/>
          <w:lang w:val="en-US" w:eastAsia="zh-CN" w:bidi="ar"/>
        </w:rPr>
        <w:t>处食品安全快检中心和</w:t>
      </w:r>
      <w:r>
        <w:rPr>
          <w:rFonts w:hint="default" w:ascii="Calibri" w:hAnsi="Calibri" w:eastAsia="仿宋_GB2312" w:cs="Times New Roman"/>
          <w:kern w:val="2"/>
          <w:sz w:val="32"/>
          <w:szCs w:val="32"/>
          <w:lang w:val="en-US" w:eastAsia="zh-CN" w:bidi="ar"/>
        </w:rPr>
        <w:t>30</w:t>
      </w:r>
      <w:r>
        <w:rPr>
          <w:rFonts w:hint="eastAsia" w:ascii="Calibri" w:hAnsi="Calibri" w:eastAsia="仿宋_GB2312" w:cs="仿宋_GB2312"/>
          <w:kern w:val="2"/>
          <w:sz w:val="32"/>
          <w:szCs w:val="32"/>
          <w:lang w:val="en-US" w:eastAsia="zh-CN" w:bidi="ar"/>
        </w:rPr>
        <w:t>处食品安全快检点，通过“你点我检”对群众反映的问题食品进行免费检测。</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sz w:val="32"/>
          <w:szCs w:val="32"/>
          <w:lang w:val="en-US"/>
        </w:rPr>
      </w:pPr>
      <w:r>
        <w:rPr>
          <w:rFonts w:hint="eastAsia" w:ascii="Calibri" w:hAnsi="Calibri" w:eastAsia="仿宋_GB2312" w:cs="仿宋_GB2312"/>
          <w:kern w:val="2"/>
          <w:sz w:val="32"/>
          <w:szCs w:val="32"/>
          <w:lang w:val="en-US" w:eastAsia="zh-CN" w:bidi="ar"/>
        </w:rPr>
        <w:t>加大了对生产加工、流通和餐饮服务等重点环节的监控力度。完善食品及食品相关企业市场准入工作，落实区域监管责任制，深化食品生产企业量化分级管理，建立和完善生产加工环节食品安全监测机制。进一步规范食品生产经营秩序，重点督促食品生产企业、大型超市及市场、连锁超市、餐饮服务业健全食品安全质控体系、管理制度，加强日常监测和监督，提高中型以上食品生产、批发市场、农贸市场、超市和卖场的食品销售、重点餐饮服务者安全监督频度。全面推行了食品经营合同示范文本，提高食品经营活动中的食品安全义务履行率。</w:t>
      </w:r>
      <w:r>
        <w:rPr>
          <w:rFonts w:hint="default" w:ascii="Calibri" w:hAnsi="Calibri" w:eastAsia="仿宋_GB2312" w:cs="Times New Roman"/>
          <w:kern w:val="2"/>
          <w:sz w:val="32"/>
          <w:szCs w:val="32"/>
          <w:lang w:val="en-US" w:eastAsia="zh-CN" w:bidi="ar"/>
        </w:rPr>
        <w:t>2018</w:t>
      </w:r>
      <w:r>
        <w:rPr>
          <w:rFonts w:hint="eastAsia" w:ascii="Calibri" w:hAnsi="Calibri" w:eastAsia="仿宋_GB2312" w:cs="仿宋_GB2312"/>
          <w:kern w:val="2"/>
          <w:sz w:val="32"/>
          <w:szCs w:val="32"/>
          <w:lang w:val="en-US" w:eastAsia="zh-CN" w:bidi="ar"/>
        </w:rPr>
        <w:t>年以来，开展食品安全快速检测暨“你点我检”便民食品安全检测工作</w:t>
      </w:r>
      <w:r>
        <w:rPr>
          <w:rFonts w:hint="default" w:ascii="Calibri" w:hAnsi="Calibri" w:eastAsia="仿宋_GB2312" w:cs="Times New Roman"/>
          <w:kern w:val="2"/>
          <w:sz w:val="32"/>
          <w:szCs w:val="32"/>
          <w:lang w:val="en-US" w:eastAsia="zh-CN" w:bidi="ar"/>
        </w:rPr>
        <w:t>9000</w:t>
      </w:r>
      <w:r>
        <w:rPr>
          <w:rFonts w:hint="eastAsia" w:ascii="Calibri" w:hAnsi="Calibri" w:eastAsia="仿宋_GB2312" w:cs="仿宋_GB2312"/>
          <w:kern w:val="2"/>
          <w:sz w:val="32"/>
          <w:szCs w:val="32"/>
          <w:lang w:val="en-US" w:eastAsia="zh-CN" w:bidi="ar"/>
        </w:rPr>
        <w:t>余批次。对监督抽检不合格产品全部进行了核查处置。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sz w:val="32"/>
          <w:szCs w:val="32"/>
          <w:lang w:val="en-US"/>
        </w:rPr>
      </w:pPr>
      <w:r>
        <w:rPr>
          <w:rFonts w:hint="eastAsia" w:ascii="Calibri" w:hAnsi="Calibri" w:eastAsia="仿宋_GB2312" w:cs="仿宋_GB2312"/>
          <w:kern w:val="2"/>
          <w:sz w:val="32"/>
          <w:szCs w:val="32"/>
          <w:lang w:val="en-US" w:eastAsia="zh-CN" w:bidi="ar"/>
        </w:rPr>
        <w:t>基本规范了西岗区食品安全重大事故信息报告与预警机制，畅通食品安全重大事故信息报告与通报渠道。整合资源，完善食品安全应急反应组织管理体系，强化了应急指挥决策体系、应急监测、报告和预警体系、应急检测技术支撑体系、应急队伍和物资保障体系，加强培训演练、现场处置能力建设，实施了食品安全快速应急反应联动机制，政府应急处置能力有效提升。逐步建立了完善的食品安全风险评估评价和风险预警机制，对粮油及制品、畜禽、果蔬、水产品、酒类、乳制品、婴幼儿食品、调味品、方便食品、豆制品、饮用水、食品添加剂等食品的安全性和企业食品安全监管制度建设及落实情况进行调查、评价，并据此划分食品的风险等级，对重点风险品种进行追踪，开展风险评估评价及风险预警，为政府食品安全决策和管理提供了科学、准确的依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sz w:val="32"/>
          <w:szCs w:val="32"/>
          <w:lang w:val="en-US"/>
        </w:rPr>
      </w:pPr>
      <w:r>
        <w:rPr>
          <w:rFonts w:hint="eastAsia" w:ascii="Calibri" w:hAnsi="Calibri" w:eastAsia="仿宋_GB2312" w:cs="仿宋_GB2312"/>
          <w:kern w:val="2"/>
          <w:sz w:val="32"/>
          <w:szCs w:val="32"/>
          <w:lang w:val="en-US" w:eastAsia="zh-CN" w:bidi="ar"/>
        </w:rPr>
        <w:t>进一步增强了全区食品安全诚信意识，营造了食品安全诚信环境。逐步建立食品安全诚信运行机制，全面发挥食品安全诚信体系对食品安全工作的规范、引导、督促功能。完善了食品安全诚信征集制度、评价制度、披露制度，初步建立食品生产经营主体登记档案信息系统和食品生产经营主体诚信分类数据库，建立完善的食品生产经营主体诚信分类监管制度，逐步实施食品安全诚信分类监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sz w:val="32"/>
          <w:szCs w:val="32"/>
          <w:lang w:val="en-US"/>
        </w:rPr>
      </w:pPr>
      <w:r>
        <w:rPr>
          <w:rFonts w:hint="eastAsia" w:ascii="Calibri" w:hAnsi="Calibri" w:eastAsia="仿宋_GB2312" w:cs="仿宋_GB2312"/>
          <w:kern w:val="2"/>
          <w:sz w:val="32"/>
          <w:szCs w:val="32"/>
          <w:lang w:val="en-US" w:eastAsia="zh-CN" w:bidi="ar"/>
        </w:rPr>
        <w:t>在取得成果的同时，也存在一些问题和短板：一是人员结构及素质的瓶颈。市场监管干部队伍老化，专业人才匮乏，与当前的精细化管理、大数据、网络化、专业化发展等不相适应。机构整合后，监管重心下移，基层监管任务更加繁重，基层普遍面临人员不足、经费短缺、装备落后等问题。二是思想观念更新及本领恐慌。监管人员思维模式传统，条条框框多，大监管、大市场观念不牢，改革意识不强、滞后于发展。自觉性主动性不高，不少问题都等媒体曝光才去应对，对苗头性、倾向性问题主动研究不够。三是对市场经济规律、市场监管规律、科技发展的认知不够。在互联网、全球化和科技迅猛发展的时代，新产业、新业态不断涌现，电子商务、线上线下互动蓬勃发展，如何适应经济规律，如何监管好食品药品安全，需要认真研究和思考。</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sz w:val="32"/>
          <w:szCs w:val="32"/>
          <w:lang w:val="en-US"/>
        </w:rPr>
      </w:pPr>
      <w:r>
        <w:rPr>
          <w:rFonts w:hint="eastAsia" w:ascii="仿宋_GB2312" w:hAnsi="仿宋_GB2312" w:eastAsia="仿宋_GB2312" w:cs="仿宋_GB2312"/>
          <w:kern w:val="2"/>
          <w:sz w:val="32"/>
          <w:szCs w:val="32"/>
          <w:lang w:val="en-US" w:eastAsia="zh-CN" w:bidi="ar"/>
        </w:rPr>
        <w:t>2021-2025</w:t>
      </w:r>
      <w:r>
        <w:rPr>
          <w:rFonts w:hint="eastAsia" w:ascii="Calibri" w:hAnsi="Calibri" w:eastAsia="仿宋_GB2312" w:cs="仿宋_GB2312"/>
          <w:kern w:val="2"/>
          <w:sz w:val="32"/>
          <w:szCs w:val="32"/>
          <w:lang w:val="en-US" w:eastAsia="zh-CN" w:bidi="ar"/>
        </w:rPr>
        <w:t>是我国国民经济和社会发展第十四个五年</w:t>
      </w:r>
      <w:r>
        <w:rPr>
          <w:rFonts w:hint="eastAsia" w:eastAsia="仿宋_GB2312" w:cs="仿宋_GB2312"/>
          <w:kern w:val="2"/>
          <w:sz w:val="32"/>
          <w:szCs w:val="32"/>
          <w:lang w:val="en-US" w:eastAsia="zh-CN" w:bidi="ar"/>
        </w:rPr>
        <w:t>规划</w:t>
      </w:r>
      <w:r>
        <w:rPr>
          <w:rFonts w:hint="eastAsia" w:ascii="Calibri" w:hAnsi="Calibri" w:eastAsia="仿宋_GB2312" w:cs="仿宋_GB2312"/>
          <w:kern w:val="2"/>
          <w:sz w:val="32"/>
          <w:szCs w:val="32"/>
          <w:lang w:val="en-US" w:eastAsia="zh-CN" w:bidi="ar"/>
        </w:rPr>
        <w:t>时期，是“两个一百年”奋斗目标的历史交汇期，对我国国民经济和社会发展具有重要的意义，政府与市场的关系处理到了最为关键的五年。“十四五”时期也是西岗区加快振兴发展的关键时期，是深化完善全区食品药品安全体制机制的机遇期，同时也是职能调整期、机构磨合期，食品药品安全不确定因素增多，风险隐患增大，监管任务繁重。在新时</w:t>
      </w:r>
      <w:bookmarkStart w:id="0" w:name="_GoBack"/>
      <w:bookmarkEnd w:id="0"/>
      <w:r>
        <w:rPr>
          <w:rFonts w:hint="eastAsia" w:ascii="Calibri" w:hAnsi="Calibri" w:eastAsia="仿宋_GB2312" w:cs="仿宋_GB2312"/>
          <w:kern w:val="2"/>
          <w:sz w:val="32"/>
          <w:szCs w:val="32"/>
          <w:lang w:val="en-US" w:eastAsia="zh-CN" w:bidi="ar"/>
        </w:rPr>
        <w:t>期新形势下政府部门必须清晰明确“当好管理者、搭建好平台、做好店小二”的三重角色定位，才能和“无形市场”形成良性互动，最大程度有效发挥协同作用。</w:t>
      </w:r>
    </w:p>
    <w:p>
      <w:pPr>
        <w:pStyle w:val="2"/>
        <w:keepNext w:val="0"/>
        <w:keepLines w:val="0"/>
        <w:pageBreakBefore w:val="0"/>
        <w:widowControl/>
        <w:kinsoku/>
        <w:wordWrap/>
        <w:overflowPunct/>
        <w:topLinePunct w:val="0"/>
        <w:autoSpaceDE/>
        <w:autoSpaceDN/>
        <w:bidi w:val="0"/>
        <w:spacing w:line="600" w:lineRule="exact"/>
        <w:ind w:left="0" w:firstLine="0" w:firstLineChars="0"/>
        <w:textAlignment w:val="auto"/>
        <w:rPr>
          <w:rFonts w:hint="eastAsia" w:ascii="黑体" w:hAnsi="宋体" w:eastAsia="黑体" w:cs="黑体"/>
          <w:bCs/>
          <w:sz w:val="32"/>
          <w:szCs w:val="32"/>
          <w:lang w:val="en-US"/>
        </w:rPr>
      </w:pPr>
      <w:r>
        <w:rPr>
          <w:rFonts w:hint="eastAsia" w:ascii="黑体" w:hAnsi="宋体" w:eastAsia="黑体" w:cs="黑体"/>
          <w:bCs/>
          <w:sz w:val="32"/>
          <w:szCs w:val="32"/>
          <w:lang w:val="en-US"/>
        </w:rPr>
        <w:t xml:space="preserve">    </w:t>
      </w:r>
      <w:r>
        <w:rPr>
          <w:rFonts w:hint="eastAsia" w:ascii="黑体" w:hAnsi="宋体" w:eastAsia="黑体" w:cs="黑体"/>
          <w:bCs/>
          <w:sz w:val="32"/>
          <w:szCs w:val="32"/>
          <w:lang w:eastAsia="zh-CN"/>
        </w:rPr>
        <w:t>二、指导思想</w:t>
      </w:r>
    </w:p>
    <w:p>
      <w:pPr>
        <w:pStyle w:val="4"/>
        <w:keepNext w:val="0"/>
        <w:keepLines w:val="0"/>
        <w:pageBreakBefore w:val="0"/>
        <w:widowControl/>
        <w:suppressLineNumbers w:val="0"/>
        <w:kinsoku/>
        <w:wordWrap/>
        <w:overflowPunct/>
        <w:topLinePunct w:val="0"/>
        <w:autoSpaceDE/>
        <w:autoSpaceDN/>
        <w:bidi w:val="0"/>
        <w:snapToGrid w:val="0"/>
        <w:spacing w:before="0" w:beforeAutospacing="0" w:after="0" w:afterAutospacing="0" w:line="600" w:lineRule="exact"/>
        <w:ind w:left="0" w:right="0" w:firstLine="65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高举中国特色社会主义伟大旗帜，全面贯彻党的十九大和十九届二中、三中、四中、五中全会精神，坚持以马克思列宁主义、毛泽东思想、邓小平理论、“三个代表”重要思想、科学发展观、习近平新时代中国特色社会主义思想为指导，全面贯彻党的基本理论、基本路线、基本方略，认真落实习近平总书记关于东北、辽宁及大连振兴发展的重要讲话和指示批示精神，紧紧围绕统筹推进“五位一体”总体布局和协调推进“四个全面”战略布局，坚持稳中求进工作总基调，坚定不移贯彻新发展理念，以满足人民日益增长的美好生活需要为根本目的，遵循“四个最严”要求，建立食品药品安全现代化治理体系，提高全过程监管能力，提升食品药品全链条质量安全保障水平，增强广大人民群众的获得感、幸福感、安全感，加快建设高质量发展、高品质生活、高效能治理的社会主义现代化高品质城区，朝着“时尚宜居之城、品质卓越名区”愿景目标迈进，为大连“两先区”高质量发展做出新的更大贡献。</w:t>
      </w:r>
    </w:p>
    <w:p>
      <w:pPr>
        <w:pStyle w:val="4"/>
        <w:keepNext w:val="0"/>
        <w:keepLines w:val="0"/>
        <w:pageBreakBefore w:val="0"/>
        <w:widowControl/>
        <w:suppressLineNumbers w:val="0"/>
        <w:kinsoku/>
        <w:wordWrap/>
        <w:overflowPunct/>
        <w:topLinePunct w:val="0"/>
        <w:autoSpaceDE/>
        <w:autoSpaceDN/>
        <w:bidi w:val="0"/>
        <w:snapToGrid w:val="0"/>
        <w:spacing w:before="0" w:beforeAutospacing="0" w:after="0" w:afterAutospacing="0" w:line="600" w:lineRule="exact"/>
        <w:ind w:left="420" w:leftChars="200" w:right="0" w:firstLine="0" w:firstLineChars="0"/>
        <w:jc w:val="both"/>
        <w:textAlignment w:val="auto"/>
        <w:rPr>
          <w:rFonts w:hint="eastAsia" w:ascii="黑体" w:hAnsi="宋体" w:eastAsia="黑体" w:cs="黑体"/>
          <w:sz w:val="32"/>
          <w:szCs w:val="32"/>
          <w:lang w:val="en-US"/>
        </w:rPr>
      </w:pPr>
      <w:r>
        <w:rPr>
          <w:rFonts w:hint="eastAsia" w:ascii="黑体" w:hAnsi="宋体" w:eastAsia="黑体" w:cs="黑体"/>
          <w:sz w:val="32"/>
          <w:szCs w:val="32"/>
          <w:lang w:eastAsia="zh-CN"/>
        </w:rPr>
        <w:t>三、基本原则</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z w:val="32"/>
          <w:szCs w:val="32"/>
          <w:highlight w:val="yellow"/>
          <w:lang w:val="en-US"/>
        </w:rPr>
      </w:pPr>
      <w:r>
        <w:rPr>
          <w:rFonts w:hint="eastAsia" w:ascii="仿宋_GB2312" w:hAnsi="仿宋_GB2312" w:eastAsia="仿宋_GB2312" w:cs="仿宋_GB2312"/>
          <w:b/>
          <w:kern w:val="2"/>
          <w:sz w:val="32"/>
          <w:szCs w:val="32"/>
          <w:lang w:val="en-US" w:eastAsia="zh-CN" w:bidi="ar"/>
        </w:rPr>
        <w:t>1.完善机制：</w:t>
      </w:r>
      <w:r>
        <w:rPr>
          <w:rFonts w:hint="eastAsia" w:ascii="仿宋_GB2312" w:hAnsi="Calibri" w:eastAsia="仿宋_GB2312" w:cs="黑体"/>
          <w:kern w:val="24"/>
          <w:sz w:val="32"/>
          <w:szCs w:val="32"/>
          <w:lang w:val="en-US" w:eastAsia="zh-CN" w:bidi="ar"/>
        </w:rPr>
        <w:t>全面落实各级党政和部门食品药品安全责任,加快完善我区科学、高效的监管体制，充分发挥综合协调作用。</w:t>
      </w:r>
      <w:r>
        <w:rPr>
          <w:rFonts w:hint="eastAsia" w:ascii="仿宋_GB2312" w:hAnsi="仿宋_GB2312" w:eastAsia="仿宋_GB2312" w:cs="仿宋_GB2312"/>
          <w:kern w:val="2"/>
          <w:sz w:val="32"/>
          <w:szCs w:val="32"/>
          <w:lang w:val="en-US" w:eastAsia="zh-CN" w:bidi="ar"/>
        </w:rPr>
        <w:t>制定更加创新、有效的机制与企业保持良好有效的服务关系。</w:t>
      </w:r>
    </w:p>
    <w:p>
      <w:pPr>
        <w:pStyle w:val="4"/>
        <w:keepNext w:val="0"/>
        <w:keepLines w:val="0"/>
        <w:pageBreakBefore w:val="0"/>
        <w:widowControl/>
        <w:suppressLineNumbers w:val="0"/>
        <w:kinsoku/>
        <w:wordWrap/>
        <w:overflowPunct/>
        <w:topLinePunct w:val="0"/>
        <w:autoSpaceDE/>
        <w:autoSpaceDN/>
        <w:bidi w:val="0"/>
        <w:snapToGrid w:val="0"/>
        <w:spacing w:before="0" w:beforeAutospacing="0" w:after="0" w:afterAutospacing="0" w:line="600" w:lineRule="exact"/>
        <w:ind w:left="0" w:right="0" w:firstLine="652"/>
        <w:jc w:val="both"/>
        <w:textAlignment w:val="auto"/>
        <w:rPr>
          <w:rFonts w:hint="eastAsia" w:ascii="仿宋_GB2312" w:eastAsia="仿宋_GB2312" w:cs="黑体"/>
          <w:kern w:val="24"/>
          <w:sz w:val="32"/>
          <w:szCs w:val="32"/>
          <w:lang w:val="en-US"/>
        </w:rPr>
      </w:pPr>
      <w:r>
        <w:rPr>
          <w:rFonts w:hint="eastAsia" w:ascii="仿宋_GB2312" w:hAnsi="仿宋_GB2312" w:eastAsia="仿宋_GB2312" w:cs="仿宋_GB2312"/>
          <w:b/>
          <w:sz w:val="32"/>
          <w:szCs w:val="32"/>
          <w:lang w:val="en-US"/>
        </w:rPr>
        <w:t>2.</w:t>
      </w:r>
      <w:r>
        <w:rPr>
          <w:rFonts w:hint="eastAsia" w:ascii="仿宋_GB2312" w:hAnsi="仿宋_GB2312" w:eastAsia="仿宋_GB2312" w:cs="仿宋_GB2312"/>
          <w:b/>
          <w:sz w:val="32"/>
          <w:szCs w:val="32"/>
          <w:lang w:eastAsia="zh-CN"/>
        </w:rPr>
        <w:t>全程控制：</w:t>
      </w:r>
      <w:r>
        <w:rPr>
          <w:rFonts w:hint="eastAsia" w:ascii="仿宋_GB2312" w:eastAsia="仿宋_GB2312" w:cs="黑体"/>
          <w:kern w:val="24"/>
          <w:sz w:val="32"/>
          <w:szCs w:val="32"/>
          <w:lang w:eastAsia="zh-CN"/>
        </w:rPr>
        <w:t>统筹兼顾食品药品安全各项工作，重点紧盯“三小”等存在隐患和环节，建立健全生产、流通等各个环节监管制度，实施食品药品安全监管全覆盖。</w:t>
      </w:r>
    </w:p>
    <w:p>
      <w:pPr>
        <w:pStyle w:val="4"/>
        <w:keepNext w:val="0"/>
        <w:keepLines w:val="0"/>
        <w:pageBreakBefore w:val="0"/>
        <w:widowControl/>
        <w:suppressLineNumbers w:val="0"/>
        <w:kinsoku/>
        <w:wordWrap/>
        <w:overflowPunct/>
        <w:topLinePunct w:val="0"/>
        <w:autoSpaceDE/>
        <w:autoSpaceDN/>
        <w:bidi w:val="0"/>
        <w:snapToGrid w:val="0"/>
        <w:spacing w:before="0" w:beforeAutospacing="0" w:after="0" w:afterAutospacing="0" w:line="600" w:lineRule="exact"/>
        <w:ind w:left="0" w:right="0" w:firstLine="652"/>
        <w:jc w:val="both"/>
        <w:textAlignment w:val="auto"/>
        <w:rPr>
          <w:rFonts w:hint="eastAsia" w:ascii="仿宋_GB2312" w:hAnsi="仿宋_GB2312" w:eastAsia="仿宋_GB2312" w:cs="仿宋_GB2312"/>
          <w:b/>
          <w:sz w:val="32"/>
          <w:szCs w:val="32"/>
          <w:lang w:val="en-US"/>
        </w:rPr>
      </w:pPr>
      <w:r>
        <w:rPr>
          <w:rFonts w:hint="eastAsia" w:ascii="仿宋_GB2312" w:hAnsi="仿宋_GB2312" w:eastAsia="仿宋_GB2312" w:cs="仿宋_GB2312"/>
          <w:b/>
          <w:sz w:val="32"/>
          <w:szCs w:val="32"/>
          <w:lang w:val="en-US"/>
        </w:rPr>
        <w:t>3.</w:t>
      </w:r>
      <w:r>
        <w:rPr>
          <w:rFonts w:hint="eastAsia" w:ascii="仿宋_GB2312" w:hAnsi="仿宋_GB2312" w:eastAsia="仿宋_GB2312" w:cs="仿宋_GB2312"/>
          <w:b/>
          <w:sz w:val="32"/>
          <w:szCs w:val="32"/>
          <w:lang w:eastAsia="zh-CN"/>
        </w:rPr>
        <w:t>多位一体：</w:t>
      </w:r>
      <w:r>
        <w:rPr>
          <w:rFonts w:hint="eastAsia" w:ascii="仿宋_GB2312" w:hAnsi="仿宋_GB2312" w:eastAsia="仿宋_GB2312" w:cs="仿宋_GB2312"/>
          <w:sz w:val="32"/>
          <w:szCs w:val="32"/>
          <w:lang w:eastAsia="zh-CN"/>
        </w:rPr>
        <w:t>充分发挥行政部门、经营主体、检测机构、新闻媒体和消费主体的力量，借助各自的优势，构建多元化监管模式，让各方形成合力，达成一致，更好地维护消费者权利、提升政府执政能力和实现和谐社会构建的目标和需要。</w:t>
      </w:r>
    </w:p>
    <w:p>
      <w:pPr>
        <w:pStyle w:val="4"/>
        <w:keepNext w:val="0"/>
        <w:keepLines w:val="0"/>
        <w:pageBreakBefore w:val="0"/>
        <w:widowControl/>
        <w:suppressLineNumbers w:val="0"/>
        <w:kinsoku/>
        <w:wordWrap/>
        <w:overflowPunct/>
        <w:topLinePunct w:val="0"/>
        <w:autoSpaceDE/>
        <w:autoSpaceDN/>
        <w:bidi w:val="0"/>
        <w:snapToGrid w:val="0"/>
        <w:spacing w:before="0" w:beforeAutospacing="0" w:after="0" w:afterAutospacing="0" w:line="600" w:lineRule="exact"/>
        <w:ind w:left="0" w:right="0" w:firstLine="652"/>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sz w:val="32"/>
          <w:szCs w:val="32"/>
          <w:lang w:val="en-US"/>
        </w:rPr>
        <w:t>4.</w:t>
      </w:r>
      <w:r>
        <w:rPr>
          <w:rFonts w:hint="eastAsia" w:ascii="仿宋_GB2312" w:hAnsi="仿宋_GB2312" w:eastAsia="仿宋_GB2312" w:cs="仿宋_GB2312"/>
          <w:b/>
          <w:sz w:val="32"/>
          <w:szCs w:val="32"/>
          <w:lang w:eastAsia="zh-CN"/>
        </w:rPr>
        <w:t>资源下沉：</w:t>
      </w:r>
      <w:r>
        <w:rPr>
          <w:rFonts w:hint="eastAsia" w:ascii="仿宋_GB2312" w:hAnsi="仿宋_GB2312" w:eastAsia="仿宋_GB2312" w:cs="仿宋_GB2312"/>
          <w:sz w:val="32"/>
          <w:szCs w:val="32"/>
          <w:lang w:eastAsia="zh-CN"/>
        </w:rPr>
        <w:t>推进权力下放、重心下移，坚持人、权、责综合施策，打造规范化、标准化、统一化基层站所，夯实食品药品安全监管基础水平。</w:t>
      </w:r>
    </w:p>
    <w:p>
      <w:pPr>
        <w:pStyle w:val="4"/>
        <w:keepNext w:val="0"/>
        <w:keepLines w:val="0"/>
        <w:pageBreakBefore w:val="0"/>
        <w:widowControl/>
        <w:suppressLineNumbers w:val="0"/>
        <w:kinsoku/>
        <w:wordWrap/>
        <w:overflowPunct/>
        <w:topLinePunct w:val="0"/>
        <w:autoSpaceDE/>
        <w:autoSpaceDN/>
        <w:bidi w:val="0"/>
        <w:snapToGrid w:val="0"/>
        <w:spacing w:before="0" w:beforeAutospacing="0" w:after="0" w:afterAutospacing="0" w:line="600" w:lineRule="exact"/>
        <w:ind w:left="0" w:right="0" w:firstLine="652"/>
        <w:jc w:val="both"/>
        <w:textAlignment w:val="auto"/>
        <w:rPr>
          <w:rFonts w:hint="eastAsia" w:ascii="仿宋_GB2312" w:hAnsi="仿宋_GB2312" w:eastAsia="仿宋_GB2312" w:cs="仿宋_GB2312"/>
          <w:b/>
          <w:sz w:val="32"/>
          <w:szCs w:val="32"/>
          <w:lang w:val="en-US"/>
        </w:rPr>
      </w:pPr>
      <w:r>
        <w:rPr>
          <w:rFonts w:hint="eastAsia" w:ascii="仿宋_GB2312" w:hAnsi="仿宋_GB2312" w:eastAsia="仿宋_GB2312" w:cs="仿宋_GB2312"/>
          <w:b/>
          <w:sz w:val="32"/>
          <w:szCs w:val="32"/>
          <w:lang w:val="en-US"/>
        </w:rPr>
        <w:t>5.</w:t>
      </w:r>
      <w:r>
        <w:rPr>
          <w:rFonts w:hint="eastAsia" w:ascii="仿宋_GB2312" w:hAnsi="仿宋_GB2312" w:eastAsia="仿宋_GB2312" w:cs="仿宋_GB2312"/>
          <w:b/>
          <w:sz w:val="32"/>
          <w:szCs w:val="32"/>
          <w:lang w:eastAsia="zh-CN"/>
        </w:rPr>
        <w:t>创新模式：</w:t>
      </w:r>
      <w:r>
        <w:rPr>
          <w:rFonts w:hint="eastAsia" w:ascii="仿宋_GB2312" w:hAnsi="仿宋_GB2312" w:eastAsia="仿宋_GB2312" w:cs="仿宋_GB2312"/>
          <w:sz w:val="32"/>
          <w:szCs w:val="32"/>
          <w:lang w:eastAsia="zh-CN"/>
        </w:rPr>
        <w:t>转变监管模式与监管思路，有效运用“互联网</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”监管和信用监管等新型监管模式，把握产业及企业发展的痛点、难点，针对性的解决食品药品安全问题，促进产业及经济的发展，有效的服务企业发展。</w:t>
      </w:r>
    </w:p>
    <w:p>
      <w:pPr>
        <w:pStyle w:val="2"/>
        <w:keepNext w:val="0"/>
        <w:keepLines w:val="0"/>
        <w:pageBreakBefore w:val="0"/>
        <w:widowControl/>
        <w:kinsoku/>
        <w:wordWrap/>
        <w:overflowPunct/>
        <w:topLinePunct w:val="0"/>
        <w:autoSpaceDE/>
        <w:autoSpaceDN/>
        <w:bidi w:val="0"/>
        <w:spacing w:line="600" w:lineRule="exact"/>
        <w:ind w:left="0" w:firstLine="650"/>
        <w:textAlignment w:val="auto"/>
        <w:rPr>
          <w:rFonts w:hint="eastAsia" w:ascii="黑体" w:hAnsi="宋体" w:eastAsia="黑体" w:cs="黑体"/>
          <w:bCs/>
          <w:sz w:val="32"/>
          <w:szCs w:val="32"/>
          <w:lang w:val="en-US"/>
        </w:rPr>
      </w:pPr>
      <w:r>
        <w:rPr>
          <w:rFonts w:hint="eastAsia" w:ascii="黑体" w:hAnsi="宋体" w:eastAsia="黑体" w:cs="黑体"/>
          <w:bCs/>
          <w:sz w:val="32"/>
          <w:szCs w:val="32"/>
          <w:lang w:eastAsia="zh-CN"/>
        </w:rPr>
        <w:t>四、工作目标</w:t>
      </w:r>
    </w:p>
    <w:p>
      <w:pPr>
        <w:pStyle w:val="2"/>
        <w:keepNext w:val="0"/>
        <w:keepLines w:val="0"/>
        <w:pageBreakBefore w:val="0"/>
        <w:widowControl/>
        <w:kinsoku/>
        <w:wordWrap/>
        <w:overflowPunct/>
        <w:topLinePunct w:val="0"/>
        <w:autoSpaceDE/>
        <w:autoSpaceDN/>
        <w:bidi w:val="0"/>
        <w:spacing w:line="600" w:lineRule="exact"/>
        <w:ind w:left="0" w:firstLine="650"/>
        <w:textAlignment w:val="auto"/>
        <w:rPr>
          <w:rFonts w:hint="eastAsia" w:ascii="仿宋_GB2312" w:hAnsi="宋体" w:eastAsia="仿宋_GB2312" w:cs="宋体"/>
          <w:sz w:val="32"/>
          <w:szCs w:val="32"/>
          <w:lang w:val="en-US"/>
        </w:rPr>
      </w:pPr>
      <w:r>
        <w:rPr>
          <w:rFonts w:hint="eastAsia" w:ascii="仿宋_GB2312" w:hAnsi="宋体" w:eastAsia="仿宋_GB2312" w:cs="宋体"/>
          <w:sz w:val="32"/>
          <w:szCs w:val="32"/>
          <w:lang w:eastAsia="zh-CN"/>
        </w:rPr>
        <w:t>通过五年的努力，西岗区食品药品监管体制机制进一步完善，各方责任落实到位，社会共治局面逐步形成；监管队伍素质全面提高，依法行政能力进一步提升，基础设施建设加强，技术装备进一步改善，食品药品安全监管更加规范化、标准化、法治化，打造出操作性强、可复制的食品药品安全基层建设样本；食品药品安全应急处置能力不断增强，检测技术水平显著提高，安全隐患进一步减少，树立风险防范意识，风险评估、监测、预警和风险交流更加强化，严防严管严控风险隐患，确保监管跑在风险前面；企业责任意识进一步增强，食品药品生产经营秩序更加规范，食品药品安全事故控制在较低水平，公众饮食用药更加安全。</w:t>
      </w:r>
    </w:p>
    <w:p>
      <w:pPr>
        <w:pStyle w:val="2"/>
        <w:keepNext w:val="0"/>
        <w:keepLines w:val="0"/>
        <w:pageBreakBefore w:val="0"/>
        <w:widowControl/>
        <w:kinsoku/>
        <w:wordWrap/>
        <w:overflowPunct/>
        <w:topLinePunct w:val="0"/>
        <w:autoSpaceDE/>
        <w:autoSpaceDN/>
        <w:bidi w:val="0"/>
        <w:spacing w:line="600" w:lineRule="exact"/>
        <w:ind w:left="420" w:leftChars="200" w:firstLine="0" w:firstLineChars="0"/>
        <w:textAlignment w:val="auto"/>
        <w:rPr>
          <w:rFonts w:hint="eastAsia" w:ascii="黑体" w:hAnsi="宋体" w:eastAsia="黑体" w:cs="宋体"/>
          <w:sz w:val="32"/>
          <w:szCs w:val="32"/>
          <w:lang w:val="en-US"/>
        </w:rPr>
      </w:pPr>
      <w:r>
        <w:rPr>
          <w:rFonts w:hint="eastAsia" w:ascii="黑体" w:hAnsi="宋体" w:eastAsia="黑体" w:cs="宋体"/>
          <w:sz w:val="32"/>
          <w:szCs w:val="32"/>
          <w:lang w:eastAsia="zh-CN"/>
        </w:rPr>
        <w:t>五、主要工作任务</w:t>
      </w:r>
    </w:p>
    <w:p>
      <w:pPr>
        <w:pStyle w:val="2"/>
        <w:keepNext w:val="0"/>
        <w:keepLines w:val="0"/>
        <w:pageBreakBefore w:val="0"/>
        <w:widowControl/>
        <w:kinsoku/>
        <w:wordWrap/>
        <w:overflowPunct/>
        <w:topLinePunct w:val="0"/>
        <w:autoSpaceDE/>
        <w:autoSpaceDN/>
        <w:bidi w:val="0"/>
        <w:spacing w:line="600" w:lineRule="exact"/>
        <w:ind w:left="420" w:leftChars="200" w:firstLine="0" w:firstLineChars="0"/>
        <w:textAlignment w:val="auto"/>
        <w:rPr>
          <w:rFonts w:hint="eastAsia" w:ascii="楷体" w:hAnsi="楷体" w:eastAsia="楷体" w:cs="楷体"/>
          <w:sz w:val="32"/>
          <w:szCs w:val="32"/>
          <w:lang w:val="en-US"/>
        </w:rPr>
      </w:pPr>
      <w:r>
        <w:rPr>
          <w:rFonts w:hint="eastAsia" w:ascii="楷体" w:hAnsi="楷体" w:eastAsia="楷体" w:cs="楷体"/>
          <w:sz w:val="32"/>
          <w:szCs w:val="32"/>
          <w:lang w:eastAsia="zh-CN"/>
        </w:rPr>
        <w:t>（一）落实食品药品安全党政同责</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left="0" w:right="0" w:firstLine="650"/>
        <w:jc w:val="both"/>
        <w:textAlignment w:val="auto"/>
        <w:rPr>
          <w:rFonts w:hint="eastAsia" w:ascii="仿宋_GB2312" w:eastAsia="仿宋_GB2312" w:cs="黑体"/>
          <w:kern w:val="24"/>
          <w:sz w:val="32"/>
          <w:szCs w:val="32"/>
          <w:lang w:val="en-US"/>
        </w:rPr>
      </w:pPr>
      <w:r>
        <w:rPr>
          <w:rFonts w:hint="eastAsia" w:ascii="仿宋_GB2312" w:hAnsi="仿宋_GB2312" w:eastAsia="仿宋_GB2312" w:cs="仿宋_GB2312"/>
          <w:sz w:val="32"/>
          <w:szCs w:val="32"/>
          <w:lang w:eastAsia="zh-CN"/>
        </w:rPr>
        <w:t>把食品药品安全作为一项重大政治任务来抓。</w:t>
      </w:r>
      <w:r>
        <w:rPr>
          <w:rFonts w:hint="eastAsia" w:ascii="仿宋_GB2312" w:eastAsia="仿宋_GB2312" w:cs="黑体"/>
          <w:kern w:val="24"/>
          <w:sz w:val="32"/>
          <w:szCs w:val="32"/>
          <w:lang w:eastAsia="zh-CN"/>
        </w:rPr>
        <w:t>要将食品药品安全工作纳入重要议事日程，纳入国民经济和社会发展计划，作为本地年度重点工作安排，与党的各项工作同规划、同部署、同推进、同落实。</w:t>
      </w:r>
      <w:r>
        <w:rPr>
          <w:rFonts w:hint="eastAsia" w:ascii="仿宋_GB2312" w:hAnsi="仿宋_GB2312" w:eastAsia="仿宋_GB2312" w:cs="仿宋_GB2312"/>
          <w:sz w:val="32"/>
          <w:szCs w:val="32"/>
          <w:lang w:eastAsia="zh-CN"/>
        </w:rPr>
        <w:t>坚决落实《地方党政领导干部食品安全责任制规定》，党委和政府主要负责人作为第一责任人，组织领导和督促落实食品药品安全属地管理责任，</w:t>
      </w:r>
      <w:r>
        <w:rPr>
          <w:rFonts w:hint="eastAsia" w:ascii="仿宋_GB2312" w:eastAsia="仿宋_GB2312" w:cs="黑体"/>
          <w:kern w:val="24"/>
          <w:sz w:val="32"/>
          <w:szCs w:val="32"/>
          <w:lang w:eastAsia="zh-CN"/>
        </w:rPr>
        <w:t>其他领导对分管行业或领域内的食品药品安全工作负责，</w:t>
      </w:r>
      <w:r>
        <w:rPr>
          <w:rFonts w:hint="eastAsia" w:ascii="仿宋_GB2312" w:hAnsi="仿宋_GB2312" w:eastAsia="仿宋_GB2312" w:cs="仿宋_GB2312"/>
          <w:sz w:val="32"/>
          <w:szCs w:val="32"/>
          <w:lang w:eastAsia="zh-CN"/>
        </w:rPr>
        <w:t>确保不发生重大食品药品安全事件。坚决落实中共中央、国务院印发的《关于深化改革加强食品安全工作的意见》，</w:t>
      </w:r>
      <w:r>
        <w:rPr>
          <w:rFonts w:hint="eastAsia" w:ascii="仿宋_GB2312" w:eastAsia="仿宋_GB2312" w:cs="黑体"/>
          <w:kern w:val="24"/>
          <w:sz w:val="32"/>
          <w:szCs w:val="32"/>
          <w:lang w:eastAsia="zh-CN"/>
        </w:rPr>
        <w:t>将食品药品安全工作考核结果作为党政领导班子和领导干部综合考核评价的重要内容，作为干部奖惩和使用、调整的重要参考。</w:t>
      </w:r>
    </w:p>
    <w:p>
      <w:pPr>
        <w:pStyle w:val="4"/>
        <w:keepNext w:val="0"/>
        <w:keepLines w:val="0"/>
        <w:pageBreakBefore w:val="0"/>
        <w:widowControl/>
        <w:numPr>
          <w:ilvl w:val="0"/>
          <w:numId w:val="2"/>
        </w:numPr>
        <w:kinsoku/>
        <w:wordWrap/>
        <w:overflowPunct/>
        <w:topLinePunct w:val="0"/>
        <w:autoSpaceDE/>
        <w:autoSpaceDN/>
        <w:bidi w:val="0"/>
        <w:spacing w:before="0" w:beforeAutospacing="0" w:after="0" w:afterAutospacing="0" w:line="600" w:lineRule="exact"/>
        <w:ind w:left="0" w:right="0" w:firstLine="650"/>
        <w:jc w:val="both"/>
        <w:textAlignment w:val="auto"/>
        <w:rPr>
          <w:rFonts w:hint="eastAsia" w:ascii="楷体" w:hAnsi="楷体" w:eastAsia="楷体" w:cs="楷体"/>
          <w:kern w:val="24"/>
          <w:sz w:val="32"/>
          <w:szCs w:val="32"/>
          <w:lang w:val="en-US"/>
        </w:rPr>
      </w:pPr>
      <w:r>
        <w:rPr>
          <w:rFonts w:hint="eastAsia" w:ascii="楷体" w:hAnsi="楷体" w:eastAsia="楷体" w:cs="楷体"/>
          <w:kern w:val="24"/>
          <w:sz w:val="32"/>
          <w:szCs w:val="32"/>
          <w:lang w:eastAsia="zh-CN"/>
        </w:rPr>
        <w:t>推进食品药品监管机制创新</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left="0" w:right="0" w:firstLine="650"/>
        <w:jc w:val="both"/>
        <w:textAlignment w:val="auto"/>
        <w:rPr>
          <w:rFonts w:hint="eastAsia" w:ascii="仿宋_GB2312" w:eastAsia="仿宋_GB2312" w:cs="黑体"/>
          <w:kern w:val="24"/>
          <w:sz w:val="32"/>
          <w:szCs w:val="32"/>
          <w:lang w:val="en-US"/>
        </w:rPr>
      </w:pPr>
      <w:r>
        <w:rPr>
          <w:rFonts w:hint="eastAsia" w:ascii="仿宋_GB2312" w:eastAsia="仿宋_GB2312" w:cs="黑体"/>
          <w:kern w:val="24"/>
          <w:sz w:val="32"/>
          <w:szCs w:val="32"/>
          <w:lang w:eastAsia="zh-CN"/>
        </w:rPr>
        <w:t>加快转变政府职能</w:t>
      </w:r>
      <w:r>
        <w:rPr>
          <w:rFonts w:hint="eastAsia" w:ascii="仿宋_GB2312" w:eastAsia="仿宋_GB2312" w:cs="黑体"/>
          <w:kern w:val="24"/>
          <w:sz w:val="32"/>
          <w:szCs w:val="32"/>
          <w:lang w:val="en-US"/>
        </w:rPr>
        <w:t>,</w:t>
      </w:r>
      <w:r>
        <w:rPr>
          <w:rFonts w:hint="eastAsia" w:ascii="仿宋_GB2312" w:eastAsia="仿宋_GB2312" w:cs="黑体"/>
          <w:kern w:val="24"/>
          <w:sz w:val="32"/>
          <w:szCs w:val="32"/>
          <w:lang w:eastAsia="zh-CN"/>
        </w:rPr>
        <w:t>以提高政府行政效率和服务能力为着力点</w:t>
      </w:r>
      <w:r>
        <w:rPr>
          <w:rFonts w:hint="eastAsia" w:ascii="仿宋_GB2312" w:eastAsia="仿宋_GB2312" w:cs="黑体"/>
          <w:kern w:val="24"/>
          <w:sz w:val="32"/>
          <w:szCs w:val="32"/>
          <w:lang w:val="en-US"/>
        </w:rPr>
        <w:t>,</w:t>
      </w:r>
      <w:r>
        <w:rPr>
          <w:rFonts w:hint="eastAsia" w:ascii="仿宋_GB2312" w:eastAsia="仿宋_GB2312" w:cs="黑体"/>
          <w:kern w:val="24"/>
          <w:sz w:val="32"/>
          <w:szCs w:val="32"/>
          <w:lang w:eastAsia="zh-CN"/>
        </w:rPr>
        <w:t>不断完善我区食品药品安全“权力清单”和“责任清单”。推进简政放权、放管结合、便民服务</w:t>
      </w:r>
      <w:r>
        <w:rPr>
          <w:rFonts w:hint="eastAsia" w:ascii="仿宋_GB2312" w:eastAsia="仿宋_GB2312" w:cs="黑体"/>
          <w:kern w:val="24"/>
          <w:sz w:val="32"/>
          <w:szCs w:val="32"/>
          <w:lang w:val="en-US"/>
        </w:rPr>
        <w:t>,</w:t>
      </w:r>
      <w:r>
        <w:rPr>
          <w:rFonts w:hint="eastAsia" w:ascii="仿宋_GB2312" w:eastAsia="仿宋_GB2312" w:cs="黑体"/>
          <w:kern w:val="24"/>
          <w:sz w:val="32"/>
          <w:szCs w:val="32"/>
          <w:lang w:eastAsia="zh-CN"/>
        </w:rPr>
        <w:t>承接上级业务主管部门下放的行政审批事项</w:t>
      </w:r>
      <w:r>
        <w:rPr>
          <w:rFonts w:hint="eastAsia" w:ascii="仿宋_GB2312" w:eastAsia="仿宋_GB2312" w:cs="黑体"/>
          <w:kern w:val="24"/>
          <w:sz w:val="32"/>
          <w:szCs w:val="32"/>
          <w:lang w:val="en-US"/>
        </w:rPr>
        <w:t>;</w:t>
      </w:r>
      <w:r>
        <w:rPr>
          <w:rFonts w:hint="eastAsia" w:ascii="仿宋_GB2312" w:eastAsia="仿宋_GB2312" w:cs="黑体"/>
          <w:kern w:val="24"/>
          <w:sz w:val="32"/>
          <w:szCs w:val="32"/>
          <w:lang w:eastAsia="zh-CN"/>
        </w:rPr>
        <w:t>深化食品药品行政许可制度改革</w:t>
      </w:r>
      <w:r>
        <w:rPr>
          <w:rFonts w:hint="eastAsia" w:ascii="仿宋_GB2312" w:eastAsia="仿宋_GB2312" w:cs="黑体"/>
          <w:kern w:val="24"/>
          <w:sz w:val="32"/>
          <w:szCs w:val="32"/>
          <w:lang w:val="en-US"/>
        </w:rPr>
        <w:t>,</w:t>
      </w:r>
      <w:r>
        <w:rPr>
          <w:rFonts w:hint="eastAsia" w:ascii="仿宋_GB2312" w:eastAsia="仿宋_GB2312" w:cs="黑体"/>
          <w:kern w:val="24"/>
          <w:sz w:val="32"/>
          <w:szCs w:val="32"/>
          <w:lang w:eastAsia="zh-CN"/>
        </w:rPr>
        <w:t>发挥市场在资源配置中的决定性作用</w:t>
      </w:r>
      <w:r>
        <w:rPr>
          <w:rFonts w:hint="eastAsia" w:ascii="仿宋_GB2312" w:eastAsia="仿宋_GB2312" w:cs="黑体"/>
          <w:kern w:val="24"/>
          <w:sz w:val="32"/>
          <w:szCs w:val="32"/>
          <w:lang w:val="en-US"/>
        </w:rPr>
        <w:t>,</w:t>
      </w:r>
      <w:r>
        <w:rPr>
          <w:rFonts w:hint="eastAsia" w:ascii="仿宋_GB2312" w:eastAsia="仿宋_GB2312" w:cs="黑体"/>
          <w:kern w:val="24"/>
          <w:sz w:val="32"/>
          <w:szCs w:val="32"/>
          <w:lang w:eastAsia="zh-CN"/>
        </w:rPr>
        <w:t>支持、鼓励社会组织和第三方机构积极参与食品药品安全事中事后监管。</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left="0" w:right="0" w:firstLine="650"/>
        <w:jc w:val="both"/>
        <w:textAlignment w:val="auto"/>
        <w:rPr>
          <w:rFonts w:hint="eastAsia" w:ascii="楷体" w:hAnsi="楷体" w:eastAsia="楷体" w:cs="楷体"/>
          <w:kern w:val="24"/>
          <w:sz w:val="32"/>
          <w:szCs w:val="32"/>
          <w:lang w:val="en-US"/>
        </w:rPr>
      </w:pPr>
      <w:r>
        <w:rPr>
          <w:rFonts w:hint="eastAsia" w:ascii="楷体" w:hAnsi="楷体" w:eastAsia="楷体" w:cs="楷体"/>
          <w:kern w:val="24"/>
          <w:sz w:val="32"/>
          <w:szCs w:val="32"/>
          <w:lang w:eastAsia="zh-CN"/>
        </w:rPr>
        <w:t>（三）</w:t>
      </w:r>
      <w:r>
        <w:rPr>
          <w:rFonts w:hint="eastAsia" w:ascii="楷体" w:hAnsi="楷体" w:eastAsia="楷体" w:cs="楷体"/>
          <w:sz w:val="32"/>
          <w:szCs w:val="32"/>
          <w:lang w:eastAsia="zh-CN"/>
        </w:rPr>
        <w:t>完善应急管理机制</w:t>
      </w:r>
    </w:p>
    <w:p>
      <w:pPr>
        <w:pStyle w:val="2"/>
        <w:keepNext w:val="0"/>
        <w:keepLines w:val="0"/>
        <w:pageBreakBefore w:val="0"/>
        <w:widowControl/>
        <w:kinsoku/>
        <w:wordWrap/>
        <w:overflowPunct/>
        <w:topLinePunct w:val="0"/>
        <w:autoSpaceDE/>
        <w:autoSpaceDN/>
        <w:bidi w:val="0"/>
        <w:spacing w:line="600" w:lineRule="exact"/>
        <w:ind w:left="0" w:firstLine="65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健全食品药品监管部门的应急管理机构和机制</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市场监管会同卫健等部门加强我区食品药品应急指挥系统建设</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完善食品药品监测预警、应急处置、部门及区域合作、社会协作、总结评估、信息通报、风险交流一体化处置机制</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充分发挥应急管理专家的作用</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提高应对突发事件和重大保障的处置效能。完善食品药品安全应急预案</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制定应急处置规程、应急管理评估标准</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全面提高应急管理工作的规范化、制度化水平。加强各类食品药品突发事件的应急演练</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进一步提高基层监管人员对食物药品中毒突发事件的应急响应和处置能力</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有效防范区域性、系统性、源头性重大食品药品安全风险。加大重大活动食品安全监督保障工作力度。强化食品应急装备配备和队伍建设</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提高应急检验检测技术水平。</w:t>
      </w:r>
    </w:p>
    <w:p>
      <w:pPr>
        <w:pStyle w:val="2"/>
        <w:keepNext w:val="0"/>
        <w:keepLines w:val="0"/>
        <w:pageBreakBefore w:val="0"/>
        <w:widowControl/>
        <w:kinsoku/>
        <w:wordWrap/>
        <w:overflowPunct/>
        <w:topLinePunct w:val="0"/>
        <w:autoSpaceDE/>
        <w:autoSpaceDN/>
        <w:bidi w:val="0"/>
        <w:spacing w:line="600" w:lineRule="exact"/>
        <w:ind w:left="0" w:firstLine="650"/>
        <w:textAlignment w:val="auto"/>
        <w:rPr>
          <w:rFonts w:hint="eastAsia" w:ascii="楷体" w:hAnsi="楷体" w:eastAsia="楷体" w:cs="楷体"/>
          <w:sz w:val="32"/>
          <w:szCs w:val="32"/>
          <w:lang w:val="en-US"/>
        </w:rPr>
      </w:pPr>
      <w:r>
        <w:rPr>
          <w:rFonts w:hint="eastAsia" w:ascii="楷体" w:hAnsi="楷体" w:eastAsia="楷体" w:cs="楷体"/>
          <w:sz w:val="32"/>
          <w:szCs w:val="32"/>
          <w:lang w:eastAsia="zh-CN"/>
        </w:rPr>
        <w:t>（四）强化食品安全区域合作</w:t>
      </w:r>
    </w:p>
    <w:p>
      <w:pPr>
        <w:pStyle w:val="2"/>
        <w:keepNext w:val="0"/>
        <w:keepLines w:val="0"/>
        <w:pageBreakBefore w:val="0"/>
        <w:widowControl/>
        <w:kinsoku/>
        <w:wordWrap/>
        <w:overflowPunct/>
        <w:topLinePunct w:val="0"/>
        <w:autoSpaceDE/>
        <w:autoSpaceDN/>
        <w:bidi w:val="0"/>
        <w:spacing w:line="600" w:lineRule="exact"/>
        <w:ind w:left="0" w:firstLine="65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加强与兄弟区县和农产品主产区食品安全在日常监管、联动执法和科技项目等方面的合作和食品安全信息追溯。加强食品安全风险防范、联防联控、行政执法与刑事司法衔接。进一步完善食品稽查联防和应急协作联动机制</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加强跨区域食品稽查执法及应急处置合作。到</w:t>
      </w:r>
      <w:r>
        <w:rPr>
          <w:rFonts w:hint="eastAsia" w:ascii="仿宋_GB2312" w:hAnsi="仿宋_GB2312" w:eastAsia="仿宋_GB2312" w:cs="仿宋_GB2312"/>
          <w:sz w:val="32"/>
          <w:szCs w:val="32"/>
          <w:lang w:val="en-US"/>
        </w:rPr>
        <w:t>2022</w:t>
      </w:r>
      <w:r>
        <w:rPr>
          <w:rFonts w:hint="eastAsia" w:ascii="仿宋_GB2312" w:hAnsi="仿宋_GB2312" w:eastAsia="仿宋_GB2312" w:cs="仿宋_GB2312"/>
          <w:sz w:val="32"/>
          <w:szCs w:val="32"/>
          <w:lang w:eastAsia="zh-CN"/>
        </w:rPr>
        <w:t>年，食品企业质量安全管理岗位人员的抽查考核合格率达到</w:t>
      </w:r>
      <w:r>
        <w:rPr>
          <w:rFonts w:hint="eastAsia" w:ascii="仿宋_GB2312" w:hAnsi="仿宋_GB2312" w:eastAsia="仿宋_GB2312" w:cs="仿宋_GB2312"/>
          <w:sz w:val="32"/>
          <w:szCs w:val="32"/>
          <w:lang w:val="en-US"/>
        </w:rPr>
        <w:t>95</w:t>
      </w:r>
      <w:r>
        <w:rPr>
          <w:rFonts w:hint="eastAsia" w:ascii="仿宋_GB2312" w:hAnsi="仿宋_GB2312" w:eastAsia="仿宋_GB2312" w:cs="仿宋_GB2312"/>
          <w:sz w:val="32"/>
          <w:szCs w:val="32"/>
          <w:lang w:eastAsia="zh-CN"/>
        </w:rPr>
        <w:t>％以上。</w:t>
      </w:r>
    </w:p>
    <w:p>
      <w:pPr>
        <w:pStyle w:val="2"/>
        <w:keepNext w:val="0"/>
        <w:keepLines w:val="0"/>
        <w:pageBreakBefore w:val="0"/>
        <w:widowControl/>
        <w:numPr>
          <w:ilvl w:val="0"/>
          <w:numId w:val="3"/>
        </w:numPr>
        <w:kinsoku/>
        <w:wordWrap/>
        <w:overflowPunct/>
        <w:topLinePunct w:val="0"/>
        <w:autoSpaceDE/>
        <w:autoSpaceDN/>
        <w:bidi w:val="0"/>
        <w:spacing w:line="600" w:lineRule="exact"/>
        <w:ind w:left="0" w:firstLine="650"/>
        <w:textAlignment w:val="auto"/>
        <w:rPr>
          <w:rFonts w:hint="eastAsia" w:ascii="楷体" w:hAnsi="楷体" w:eastAsia="楷体" w:cs="楷体"/>
          <w:sz w:val="32"/>
          <w:szCs w:val="32"/>
          <w:lang w:val="en-US"/>
        </w:rPr>
      </w:pPr>
      <w:r>
        <w:rPr>
          <w:rFonts w:hint="eastAsia" w:ascii="楷体" w:hAnsi="楷体" w:eastAsia="楷体" w:cs="楷体"/>
          <w:sz w:val="32"/>
          <w:szCs w:val="32"/>
          <w:lang w:eastAsia="zh-CN"/>
        </w:rPr>
        <w:t>督促行业主体自律</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bCs/>
          <w:sz w:val="32"/>
          <w:szCs w:val="32"/>
          <w:lang w:val="en-US"/>
        </w:rPr>
      </w:pPr>
      <w:r>
        <w:rPr>
          <w:rFonts w:hint="eastAsia" w:ascii="仿宋_GB2312" w:hAnsi="仿宋_GB2312" w:eastAsia="仿宋_GB2312" w:cs="仿宋_GB2312"/>
          <w:kern w:val="2"/>
          <w:sz w:val="32"/>
          <w:szCs w:val="32"/>
          <w:lang w:val="en-US" w:eastAsia="zh-CN" w:bidi="ar"/>
        </w:rPr>
        <w:t>全面推行食品生产企业良好操作规范、危害分析和关键控制点体系;推动肉制品、乳制品、油脂等高风险食品生产企业落实生产过程视频监控和信息化记录;鼓励支持现代化食品生产龙头企业和本地特色品牌产品的发展,发挥示范引领作用;规范食品添加剂生产和使用行为;完善食品生产小作坊准入和监管制度。</w:t>
      </w:r>
      <w:r>
        <w:rPr>
          <w:rFonts w:hint="eastAsia" w:ascii="Calibri" w:hAnsi="Calibri" w:eastAsia="仿宋_GB2312" w:cs="仿宋_GB2312"/>
          <w:kern w:val="2"/>
          <w:sz w:val="32"/>
          <w:szCs w:val="32"/>
          <w:lang w:val="en-US" w:eastAsia="zh-CN" w:bidi="ar"/>
        </w:rPr>
        <w:t>对食品企业开展分类管理和诚信评定；对食品经营单位履行食品安全责任等情况进行量化计分，推行餐饮量化分级外置化公示。积极推动</w:t>
      </w:r>
      <w:r>
        <w:rPr>
          <w:rFonts w:hint="eastAsia" w:ascii="仿宋_GB2312" w:hAnsi="仿宋_GB2312" w:eastAsia="仿宋_GB2312" w:cs="仿宋_GB2312"/>
          <w:kern w:val="2"/>
          <w:sz w:val="32"/>
          <w:szCs w:val="22"/>
          <w:lang w:val="en-US" w:eastAsia="zh-CN" w:bidi="ar"/>
        </w:rPr>
        <w:t>食品生产企业实施良好生产规范（GMP），实施危害分析和关键控制点（HACCP）体系，实施供应商检查评价制度达到100％，企业自查覆盖率达到100％。到2025年，本区食品生产企业食品安全自查报告覆盖率达到100%。</w:t>
      </w:r>
    </w:p>
    <w:p>
      <w:pPr>
        <w:pStyle w:val="2"/>
        <w:keepNext w:val="0"/>
        <w:keepLines w:val="0"/>
        <w:pageBreakBefore w:val="0"/>
        <w:widowControl/>
        <w:numPr>
          <w:ilvl w:val="0"/>
          <w:numId w:val="3"/>
        </w:numPr>
        <w:kinsoku/>
        <w:wordWrap/>
        <w:overflowPunct/>
        <w:topLinePunct w:val="0"/>
        <w:autoSpaceDE/>
        <w:autoSpaceDN/>
        <w:bidi w:val="0"/>
        <w:spacing w:line="600" w:lineRule="exact"/>
        <w:ind w:left="0" w:firstLine="650"/>
        <w:textAlignment w:val="auto"/>
        <w:rPr>
          <w:rFonts w:hint="eastAsia" w:ascii="楷体" w:hAnsi="楷体" w:eastAsia="楷体" w:cs="楷体"/>
          <w:sz w:val="32"/>
          <w:szCs w:val="32"/>
          <w:lang w:val="en-US"/>
        </w:rPr>
      </w:pPr>
      <w:r>
        <w:rPr>
          <w:rFonts w:hint="eastAsia" w:ascii="楷体" w:hAnsi="楷体" w:eastAsia="楷体" w:cs="楷体"/>
          <w:sz w:val="32"/>
          <w:szCs w:val="32"/>
          <w:lang w:eastAsia="zh-CN"/>
        </w:rPr>
        <w:t>切实履行政府监管责任</w:t>
      </w:r>
    </w:p>
    <w:p>
      <w:pPr>
        <w:pStyle w:val="2"/>
        <w:keepNext w:val="0"/>
        <w:keepLines w:val="0"/>
        <w:pageBreakBefore w:val="0"/>
        <w:widowControl/>
        <w:kinsoku/>
        <w:wordWrap/>
        <w:overflowPunct/>
        <w:topLinePunct w:val="0"/>
        <w:autoSpaceDE/>
        <w:autoSpaceDN/>
        <w:bidi w:val="0"/>
        <w:spacing w:line="600" w:lineRule="exact"/>
        <w:ind w:left="0" w:firstLine="65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一是发挥综合批发市场重要作用。</w:t>
      </w:r>
      <w:r>
        <w:rPr>
          <w:rFonts w:hint="eastAsia" w:ascii="宋体" w:eastAsia="仿宋_GB2312" w:cs="仿宋_GB2312"/>
          <w:sz w:val="32"/>
          <w:szCs w:val="32"/>
          <w:lang w:eastAsia="zh-CN"/>
        </w:rPr>
        <w:t>鼓励市场开办者升级检测室，提高食品检测准确率，联合商务部门探索建设“智慧批发市场”，以物联网、大数据、人工智能等信息化手段对批发市场食品进行溯源管理，</w:t>
      </w:r>
      <w:r>
        <w:rPr>
          <w:rFonts w:hint="eastAsia" w:ascii="仿宋_GB2312" w:hAnsi="仿宋_GB2312" w:eastAsia="仿宋_GB2312" w:cs="仿宋_GB2312"/>
          <w:sz w:val="32"/>
          <w:szCs w:val="32"/>
          <w:lang w:eastAsia="zh-CN"/>
        </w:rPr>
        <w:t>推动食用农产品交易新技术应用</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创新食用农产品交易模式和服务功能</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推进区域批发市场建设</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形成食用农产品集约化配送体系和食用农产品零售多元化、多业态、多渠道融合发展的新格局。</w:t>
      </w:r>
    </w:p>
    <w:p>
      <w:pPr>
        <w:pStyle w:val="2"/>
        <w:keepNext w:val="0"/>
        <w:keepLines w:val="0"/>
        <w:pageBreakBefore w:val="0"/>
        <w:widowControl/>
        <w:kinsoku/>
        <w:wordWrap/>
        <w:overflowPunct/>
        <w:topLinePunct w:val="0"/>
        <w:autoSpaceDE/>
        <w:autoSpaceDN/>
        <w:bidi w:val="0"/>
        <w:spacing w:line="600" w:lineRule="exact"/>
        <w:ind w:left="0" w:firstLine="65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二是</w:t>
      </w:r>
      <w:r>
        <w:rPr>
          <w:rFonts w:hint="eastAsia" w:ascii="宋体" w:eastAsia="仿宋_GB2312" w:cs="仿宋_GB2312"/>
          <w:sz w:val="32"/>
          <w:szCs w:val="32"/>
          <w:lang w:eastAsia="zh-CN"/>
        </w:rPr>
        <w:t>坚持预防为主，严把食品药品安全各个关口。</w:t>
      </w:r>
      <w:r>
        <w:rPr>
          <w:rFonts w:hint="eastAsia" w:ascii="仿宋_GB2312" w:hAnsi="仿宋_GB2312" w:eastAsia="仿宋_GB2312" w:cs="仿宋_GB2312"/>
          <w:sz w:val="32"/>
          <w:szCs w:val="32"/>
          <w:lang w:eastAsia="zh-CN"/>
        </w:rPr>
        <w:t>全面推进餐饮企业“明厨亮灶”项目。倡导餐饮服务者采用视频技术或透视明档的方式公开加工过程</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主动接受社会监督。连锁餐饮企业及新建的餐饮服务单位“明厨亮灶”覆盖率力争达到</w:t>
      </w:r>
      <w:r>
        <w:rPr>
          <w:rFonts w:hint="eastAsia" w:ascii="仿宋_GB2312" w:hAnsi="仿宋_GB2312" w:eastAsia="仿宋_GB2312" w:cs="仿宋_GB2312"/>
          <w:sz w:val="32"/>
          <w:szCs w:val="32"/>
          <w:lang w:val="en-US"/>
        </w:rPr>
        <w:t>100%</w:t>
      </w:r>
      <w:r>
        <w:rPr>
          <w:rFonts w:hint="eastAsia" w:ascii="仿宋_GB2312" w:hAnsi="仿宋_GB2312" w:eastAsia="仿宋_GB2312" w:cs="仿宋_GB2312"/>
          <w:sz w:val="32"/>
          <w:szCs w:val="32"/>
          <w:lang w:eastAsia="zh-CN"/>
        </w:rPr>
        <w:t>。鼓励餐饮企业规模化发展、连锁化经营、现代化中央厨房加工。联合民政、教育、住建、民宗等部门推进餐饮企业实施良好规范化管理</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加强对养老助餐点、小餐饮、学校周边餐饮、工地食堂、民族宗教场所等食品安全监管。对集体用餐配送、学校食堂、中央厨房等高风险餐饮单位实施远程视频监控、温度监控，利用信息化手段</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防控食物中毒事故发生。到</w:t>
      </w:r>
      <w:r>
        <w:rPr>
          <w:rFonts w:hint="eastAsia" w:ascii="仿宋_GB2312" w:hAnsi="仿宋_GB2312" w:eastAsia="仿宋_GB2312" w:cs="仿宋_GB2312"/>
          <w:sz w:val="32"/>
          <w:szCs w:val="32"/>
          <w:lang w:val="en-US"/>
        </w:rPr>
        <w:t>2025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集体用餐配送单位、中央厨房等实施安全良好操作规范达到</w:t>
      </w:r>
      <w:r>
        <w:rPr>
          <w:rFonts w:hint="eastAsia" w:ascii="仿宋_GB2312" w:hAnsi="仿宋_GB2312" w:eastAsia="仿宋_GB2312" w:cs="仿宋_GB2312"/>
          <w:sz w:val="32"/>
          <w:szCs w:val="32"/>
          <w:lang w:val="en-US"/>
        </w:rPr>
        <w:t>100</w:t>
      </w:r>
      <w:r>
        <w:rPr>
          <w:rFonts w:hint="eastAsia" w:ascii="仿宋_GB2312" w:hAnsi="仿宋_GB2312" w:eastAsia="仿宋_GB2312" w:cs="仿宋_GB2312"/>
          <w:sz w:val="32"/>
          <w:szCs w:val="32"/>
          <w:lang w:eastAsia="zh-CN"/>
        </w:rPr>
        <w:t>％。</w:t>
      </w:r>
      <w:r>
        <w:rPr>
          <w:rFonts w:hint="eastAsia" w:ascii="宋体" w:hAnsi="仿宋_GB2312" w:eastAsia="仿宋_GB2312" w:cs="仿宋_GB2312"/>
          <w:szCs w:val="32"/>
          <w:lang w:eastAsia="zh-CN"/>
        </w:rPr>
        <w:t>科学制定食品安全抽检监测计划，完善食品安全风险评估预警工作机制，到</w:t>
      </w:r>
      <w:r>
        <w:rPr>
          <w:rFonts w:hAnsi="仿宋_GB2312" w:cs="仿宋_GB2312"/>
          <w:szCs w:val="32"/>
          <w:lang w:val="en-US"/>
        </w:rPr>
        <w:t>2025</w:t>
      </w:r>
      <w:r>
        <w:rPr>
          <w:rFonts w:hint="eastAsia" w:ascii="宋体" w:hAnsi="仿宋_GB2312" w:eastAsia="仿宋_GB2312" w:cs="仿宋_GB2312"/>
          <w:szCs w:val="32"/>
          <w:lang w:eastAsia="zh-CN"/>
        </w:rPr>
        <w:t>年</w:t>
      </w:r>
      <w:r>
        <w:rPr>
          <w:rFonts w:hint="eastAsia" w:ascii="仿宋_GB2312" w:hAnsi="仿宋_GB2312" w:eastAsia="仿宋_GB2312" w:cs="仿宋_GB2312"/>
          <w:sz w:val="32"/>
          <w:szCs w:val="32"/>
          <w:lang w:eastAsia="zh-CN"/>
        </w:rPr>
        <w:t>，按照不低于每千人</w:t>
      </w: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lang w:eastAsia="zh-CN"/>
        </w:rPr>
        <w:t>份的要求制定监督抽检计划。做好风险研判和管控，监督抽检不合格食品核查处置率达到</w:t>
      </w:r>
      <w:r>
        <w:rPr>
          <w:rFonts w:hint="eastAsia" w:ascii="仿宋_GB2312" w:hAnsi="仿宋_GB2312" w:eastAsia="仿宋_GB2312" w:cs="仿宋_GB2312"/>
          <w:sz w:val="32"/>
          <w:szCs w:val="32"/>
          <w:lang w:val="en-US"/>
        </w:rPr>
        <w:t>100</w:t>
      </w:r>
      <w:r>
        <w:rPr>
          <w:rFonts w:hint="eastAsia" w:ascii="仿宋_GB2312" w:hAnsi="仿宋_GB2312" w:eastAsia="仿宋_GB2312" w:cs="仿宋_GB2312"/>
          <w:sz w:val="32"/>
          <w:szCs w:val="32"/>
          <w:lang w:eastAsia="zh-CN"/>
        </w:rPr>
        <w:t>％。抓好药品、医疗器械及化妆品的监管与服务，对不合格样品进行查处。着力做好对药品、医疗器械及化妆品不良反应监测工作。集中治理执业药师挂证、不凭处方销售处方药</w:t>
      </w:r>
      <w:r>
        <w:rPr>
          <w:rStyle w:val="7"/>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中药饮片掺杂使假等重点问题。</w:t>
      </w:r>
      <w:r>
        <w:rPr>
          <w:rFonts w:hint="eastAsia" w:ascii="仿宋_GB2312" w:hAnsi="华文中宋" w:eastAsia="仿宋_GB2312" w:cs="仿宋_GB2312"/>
          <w:sz w:val="32"/>
          <w:szCs w:val="32"/>
          <w:lang w:eastAsia="zh-CN"/>
        </w:rPr>
        <w:t>结合辖区药品监管工作实际组织进行药品抽样，严格实施药品抽验任务“挂账销账清单”制度</w:t>
      </w:r>
      <w:r>
        <w:rPr>
          <w:rFonts w:hint="eastAsia" w:ascii="仿宋_GB2312" w:hAnsi="仿宋_GB2312" w:eastAsia="仿宋_GB2312" w:cs="仿宋_GB2312"/>
          <w:sz w:val="32"/>
          <w:szCs w:val="32"/>
          <w:lang w:eastAsia="zh-CN"/>
        </w:rPr>
        <w:t>。</w:t>
      </w:r>
    </w:p>
    <w:p>
      <w:pPr>
        <w:pStyle w:val="2"/>
        <w:keepNext w:val="0"/>
        <w:keepLines w:val="0"/>
        <w:pageBreakBefore w:val="0"/>
        <w:widowControl/>
        <w:kinsoku/>
        <w:wordWrap/>
        <w:overflowPunct/>
        <w:topLinePunct w:val="0"/>
        <w:autoSpaceDE/>
        <w:autoSpaceDN/>
        <w:bidi w:val="0"/>
        <w:spacing w:line="600" w:lineRule="exact"/>
        <w:ind w:left="0" w:firstLine="650"/>
        <w:textAlignment w:val="auto"/>
        <w:rPr>
          <w:rFonts w:hint="eastAsia" w:ascii="仿宋_GB2312" w:hAnsi="宋体" w:eastAsia="仿宋_GB2312" w:cs="宋体"/>
          <w:kern w:val="0"/>
          <w:sz w:val="32"/>
          <w:szCs w:val="32"/>
          <w:lang w:val="en-US"/>
        </w:rPr>
      </w:pPr>
      <w:r>
        <w:rPr>
          <w:rFonts w:hint="eastAsia" w:ascii="仿宋_GB2312" w:hAnsi="仿宋_GB2312" w:eastAsia="仿宋_GB2312" w:cs="仿宋_GB2312"/>
          <w:sz w:val="32"/>
          <w:szCs w:val="32"/>
          <w:lang w:eastAsia="zh-CN"/>
        </w:rPr>
        <w:t>三是加强特殊食品监管。建立保健食品、婴幼儿配方食品备案制度。建立保健食品、婴幼儿配方食品、特殊医学用途配方食品生产许可审查</w:t>
      </w:r>
      <w:r>
        <w:rPr>
          <w:rFonts w:hint="eastAsia" w:ascii="仿宋_GB2312" w:hAnsi="宋体" w:eastAsia="仿宋_GB2312" w:cs="宋体"/>
          <w:kern w:val="0"/>
          <w:sz w:val="32"/>
          <w:szCs w:val="32"/>
          <w:lang w:eastAsia="zh-CN"/>
        </w:rPr>
        <w:t>规范。继续保持对特殊食品非法生产、非法经营、非法添加、非法宣传违法犯罪行为的高压监管和打击力度。审慎监管网络销售食品等新业态新模式</w:t>
      </w:r>
      <w:r>
        <w:rPr>
          <w:rFonts w:hint="eastAsia" w:ascii="仿宋_GB2312" w:hAnsi="宋体" w:eastAsia="仿宋_GB2312" w:cs="宋体"/>
          <w:kern w:val="0"/>
          <w:sz w:val="32"/>
          <w:szCs w:val="32"/>
          <w:lang w:val="en-US"/>
        </w:rPr>
        <w:t>,</w:t>
      </w:r>
      <w:r>
        <w:rPr>
          <w:rFonts w:hint="eastAsia" w:ascii="仿宋_GB2312" w:hAnsi="宋体" w:eastAsia="仿宋_GB2312" w:cs="宋体"/>
          <w:kern w:val="0"/>
          <w:sz w:val="32"/>
          <w:szCs w:val="32"/>
          <w:lang w:eastAsia="zh-CN"/>
        </w:rPr>
        <w:t>重点加强对互联网销售、网络订餐和第三方交易平台的规范和监管。</w:t>
      </w:r>
    </w:p>
    <w:p>
      <w:pPr>
        <w:pStyle w:val="2"/>
        <w:keepNext w:val="0"/>
        <w:keepLines w:val="0"/>
        <w:pageBreakBefore w:val="0"/>
        <w:widowControl/>
        <w:numPr>
          <w:ilvl w:val="0"/>
          <w:numId w:val="3"/>
        </w:numPr>
        <w:kinsoku/>
        <w:wordWrap/>
        <w:overflowPunct/>
        <w:topLinePunct w:val="0"/>
        <w:autoSpaceDE/>
        <w:autoSpaceDN/>
        <w:bidi w:val="0"/>
        <w:spacing w:line="600" w:lineRule="exact"/>
        <w:ind w:left="0" w:firstLine="650"/>
        <w:textAlignment w:val="auto"/>
        <w:rPr>
          <w:rFonts w:hint="eastAsia" w:ascii="楷体" w:hAnsi="楷体" w:eastAsia="楷体" w:cs="楷体"/>
          <w:sz w:val="32"/>
          <w:szCs w:val="32"/>
          <w:lang w:val="en-US"/>
        </w:rPr>
      </w:pPr>
      <w:r>
        <w:rPr>
          <w:rFonts w:hint="eastAsia" w:ascii="楷体" w:hAnsi="楷体" w:eastAsia="楷体" w:cs="楷体"/>
          <w:sz w:val="32"/>
          <w:szCs w:val="32"/>
          <w:lang w:eastAsia="zh-CN"/>
        </w:rPr>
        <w:t>创新现代科学监管模式</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运用“互联网+”和大数据的理念和方法,推进信息系统的有机整合,提升分析和发现问题能力,有效防控和及时处置食品药品安全风险。建立智慧监管云平台，有机整合食品药品监管业务，实现事前、事中、事后全程信息化动态监管，提高监管执法专业性、统一性和权威性，提升问题发现率和执法办案效率，实现“机器换人”。建立移动监管系统，利用互联网在移动终端设备上实现“数据记录全在线、网格频次全覆盖、检查标准全统一、现场证据全固化、巡查监管全留痕”的监管执法模式，可以实时查看企业巡查、抽检、处罚、信用等信息，提高执法检查针对性和有效性。将规范化检查要点的法律条文事先植入执法终端，实现现场检查时随时查看被检查点的法律法规要求和对应的处罚条款，提高一线执法检查的标准化水平。</w:t>
      </w:r>
    </w:p>
    <w:p>
      <w:pPr>
        <w:pStyle w:val="2"/>
        <w:keepNext w:val="0"/>
        <w:keepLines w:val="0"/>
        <w:pageBreakBefore w:val="0"/>
        <w:widowControl/>
        <w:kinsoku/>
        <w:wordWrap/>
        <w:overflowPunct/>
        <w:topLinePunct w:val="0"/>
        <w:autoSpaceDE/>
        <w:autoSpaceDN/>
        <w:bidi w:val="0"/>
        <w:spacing w:line="600" w:lineRule="exact"/>
        <w:ind w:left="0" w:firstLine="650"/>
        <w:textAlignment w:val="auto"/>
        <w:rPr>
          <w:rFonts w:hint="eastAsia" w:ascii="楷体" w:hAnsi="楷体" w:eastAsia="楷体" w:cs="楷体"/>
          <w:sz w:val="32"/>
          <w:szCs w:val="32"/>
          <w:lang w:val="en-US"/>
        </w:rPr>
      </w:pPr>
      <w:r>
        <w:rPr>
          <w:rFonts w:hint="eastAsia" w:ascii="楷体" w:hAnsi="楷体" w:eastAsia="楷体" w:cs="楷体"/>
          <w:sz w:val="32"/>
          <w:szCs w:val="32"/>
          <w:lang w:eastAsia="zh-CN"/>
        </w:rPr>
        <w:t>（八）构建完善食品药品检测体系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在全区范围内实现食品药品检测能力全覆盖。整合并充分利用现有食品药品检验检测资源，促进检验检测机构社会化，提升检验检测能力，逐步建立协调统一、运行高效的食品药品安全检验检测体系，提高食品药品安全快速检测水平，提升食品污染物和食源性疾病检测能力，实现检测资源共享，满足食品药品生产、流通、消费全过程安全监管的需要。同时加强对双兴综合批发市场销售的果蔬、肉、海产品、粮油等重点品种、项目的快速检测，利用已建成的快检室和快检车对农贸市场开展快检工作，联合各街道向居民提供“你点我检”服务。</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420" w:leftChars="200" w:right="0" w:firstLine="0" w:firstLineChars="0"/>
        <w:jc w:val="both"/>
        <w:textAlignment w:val="auto"/>
        <w:rPr>
          <w:rFonts w:hint="eastAsia" w:ascii="楷体" w:hAnsi="楷体" w:eastAsia="楷体" w:cs="楷体"/>
          <w:sz w:val="32"/>
          <w:szCs w:val="32"/>
          <w:lang w:val="en-US"/>
        </w:rPr>
      </w:pPr>
      <w:r>
        <w:rPr>
          <w:rFonts w:hint="eastAsia" w:ascii="楷体" w:hAnsi="楷体" w:eastAsia="楷体" w:cs="楷体"/>
          <w:sz w:val="32"/>
          <w:szCs w:val="32"/>
          <w:lang w:eastAsia="zh-CN"/>
        </w:rPr>
        <w:t>（九）创建食品安全示范城市</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bCs/>
          <w:sz w:val="32"/>
          <w:szCs w:val="32"/>
          <w:lang w:val="en-US"/>
        </w:rPr>
      </w:pP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bCs/>
          <w:kern w:val="2"/>
          <w:sz w:val="32"/>
          <w:szCs w:val="32"/>
          <w:lang w:val="en-US" w:eastAsia="zh-CN" w:bidi="ar"/>
        </w:rPr>
        <w:t>按照国家、辽宁省创建食品安全示范城市的要求，结合西岗区实际情况，持续、深入的做好全区食品安全工作，</w:t>
      </w:r>
      <w:r>
        <w:rPr>
          <w:rFonts w:hint="eastAsia" w:ascii="仿宋_GB2312" w:hAnsi="仿宋_GB2312" w:eastAsia="仿宋_GB2312" w:cs="仿宋_GB2312"/>
          <w:kern w:val="2"/>
          <w:sz w:val="32"/>
          <w:szCs w:val="32"/>
          <w:lang w:val="en-US" w:eastAsia="zh-CN" w:bidi="ar"/>
        </w:rPr>
        <w:t>全面开展食品安全示范城区创建活动，集中解决食品安全方面存在的突出问题，实现安全保障体系进一步完善、依法监管能力进一步提升、食品安全形势持续稳定向好、群众食品药品安全满意度持续提高的目标。</w:t>
      </w:r>
      <w:r>
        <w:rPr>
          <w:rFonts w:hint="eastAsia" w:ascii="仿宋_GB2312" w:hAnsi="仿宋_GB2312" w:eastAsia="仿宋_GB2312" w:cs="仿宋_GB2312"/>
          <w:bCs/>
          <w:kern w:val="2"/>
          <w:sz w:val="32"/>
          <w:szCs w:val="32"/>
          <w:lang w:val="en-US" w:eastAsia="zh-CN" w:bidi="ar"/>
        </w:rPr>
        <w:t>2020年完成食品安全示范城市验收考核。2021年-2025年，巩固食品安全示范城市建设成果，</w:t>
      </w:r>
      <w:r>
        <w:rPr>
          <w:rFonts w:hint="eastAsia" w:ascii="仿宋_GB2312" w:hAnsi="仿宋_GB2312" w:eastAsia="仿宋_GB2312" w:cs="仿宋_GB2312"/>
          <w:kern w:val="2"/>
          <w:sz w:val="32"/>
          <w:szCs w:val="32"/>
          <w:lang w:val="en-US" w:eastAsia="zh-CN" w:bidi="ar"/>
        </w:rPr>
        <w:t>全面开展食品安全示范店、示范单位的创建，鼓励引导企业提高管理成效，促进守法经营企业的管理投入与经济效</w:t>
      </w:r>
      <w:r>
        <w:rPr>
          <w:rFonts w:hint="eastAsia" w:ascii="仿宋_GB2312" w:hAnsi="宋体" w:eastAsia="仿宋_GB2312" w:cs="宋体"/>
          <w:kern w:val="0"/>
          <w:sz w:val="32"/>
          <w:szCs w:val="32"/>
          <w:lang w:val="en-US" w:eastAsia="zh-CN" w:bidi="ar"/>
        </w:rPr>
        <w:t>益同步提升。不断丰富食品安全放心建设的内涵，稳步推进食品安全放心街道、社区和放心食品生产经营单位建设，打造放心建设升级版。</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楷体" w:hAnsi="楷体" w:eastAsia="楷体" w:cs="楷体"/>
          <w:kern w:val="0"/>
          <w:sz w:val="32"/>
          <w:szCs w:val="32"/>
          <w:lang w:val="en-US"/>
        </w:rPr>
      </w:pPr>
      <w:r>
        <w:rPr>
          <w:rFonts w:hint="eastAsia" w:ascii="楷体" w:hAnsi="楷体" w:eastAsia="楷体" w:cs="楷体"/>
          <w:kern w:val="2"/>
          <w:sz w:val="32"/>
          <w:szCs w:val="32"/>
          <w:lang w:val="en-US" w:eastAsia="zh-CN" w:bidi="ar"/>
        </w:rPr>
        <w:t>（十）打造规范化基层站所</w:t>
      </w:r>
      <w:r>
        <w:rPr>
          <w:rFonts w:hint="eastAsia" w:ascii="楷体" w:hAnsi="楷体" w:eastAsia="楷体" w:cs="楷体"/>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推进食品药品监管工作重心下移，充实基层监管力量，改善派出机构办公业务用房建设。实现基层派出机构执法车辆、执法装备配备的标准化，实现食品药品安全现场检查、样品抽检、行政处罚等现场电子化办公、智能化监管，有效保证食品监管基本需求，进一步提升食品药品监管技术支撑水平。</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楷体" w:hAnsi="楷体" w:eastAsia="楷体" w:cs="楷体"/>
          <w:kern w:val="0"/>
          <w:sz w:val="32"/>
          <w:szCs w:val="32"/>
          <w:lang w:val="en-US"/>
        </w:rPr>
      </w:pPr>
      <w:r>
        <w:rPr>
          <w:rFonts w:hint="eastAsia" w:ascii="楷体" w:hAnsi="楷体" w:eastAsia="楷体" w:cs="楷体"/>
          <w:kern w:val="0"/>
          <w:sz w:val="32"/>
          <w:szCs w:val="32"/>
          <w:lang w:val="en-US" w:eastAsia="zh-CN" w:bidi="ar"/>
        </w:rPr>
        <w:t>（十一）</w:t>
      </w:r>
      <w:r>
        <w:rPr>
          <w:rFonts w:hint="eastAsia" w:ascii="楷体" w:hAnsi="楷体" w:eastAsia="楷体" w:cs="楷体"/>
          <w:kern w:val="2"/>
          <w:sz w:val="32"/>
          <w:szCs w:val="32"/>
          <w:lang w:val="en-US" w:eastAsia="zh-CN" w:bidi="ar"/>
        </w:rPr>
        <w:t>加强职业化、专业化人才队伍建设</w:t>
      </w:r>
    </w:p>
    <w:p>
      <w:pPr>
        <w:pStyle w:val="2"/>
        <w:keepNext w:val="0"/>
        <w:keepLines w:val="0"/>
        <w:pageBreakBefore w:val="0"/>
        <w:widowControl/>
        <w:kinsoku/>
        <w:wordWrap/>
        <w:overflowPunct/>
        <w:topLinePunct w:val="0"/>
        <w:autoSpaceDE/>
        <w:autoSpaceDN/>
        <w:bidi w:val="0"/>
        <w:spacing w:line="600" w:lineRule="exact"/>
        <w:ind w:left="0" w:firstLine="65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加快建设与现代化城区食品药品监管事业相适应的综合管理和专业人才队伍。积极改革和完善食品药品专业人才集聚、使用、培养、评价、激励等制度</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探索实施更加开放、灵活和柔性的人才政策。加强基层监管骨干队伍的建设</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加快食品药品审评核查职业化、专业化人才队伍建设</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强化食品药品检验检测人才队伍建设</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打造一支结构合理、素质优良、业务精湛、敢于担当的食品药品监管职业化、专业化的复合型人才队伍。</w:t>
      </w:r>
    </w:p>
    <w:p>
      <w:pPr>
        <w:pStyle w:val="2"/>
        <w:keepNext w:val="0"/>
        <w:keepLines w:val="0"/>
        <w:pageBreakBefore w:val="0"/>
        <w:widowControl/>
        <w:kinsoku/>
        <w:wordWrap/>
        <w:overflowPunct/>
        <w:topLinePunct w:val="0"/>
        <w:autoSpaceDE/>
        <w:autoSpaceDN/>
        <w:bidi w:val="0"/>
        <w:spacing w:line="600" w:lineRule="exact"/>
        <w:ind w:left="0" w:firstLine="650"/>
        <w:textAlignment w:val="auto"/>
        <w:rPr>
          <w:rFonts w:hint="eastAsia" w:ascii="楷体" w:hAnsi="楷体" w:eastAsia="楷体" w:cs="楷体"/>
          <w:sz w:val="32"/>
          <w:szCs w:val="32"/>
          <w:lang w:val="en-US"/>
        </w:rPr>
      </w:pPr>
      <w:r>
        <w:rPr>
          <w:rFonts w:hint="eastAsia" w:ascii="楷体" w:hAnsi="楷体" w:eastAsia="楷体" w:cs="楷体"/>
          <w:sz w:val="32"/>
          <w:szCs w:val="32"/>
          <w:lang w:eastAsia="zh-CN"/>
        </w:rPr>
        <w:t>（十二）完善食品企业信用体系建设</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50"/>
        <w:jc w:val="both"/>
        <w:textAlignment w:val="auto"/>
        <w:rPr>
          <w:rFonts w:hint="eastAsia" w:ascii="仿宋_GB2312" w:hAnsi="仿宋_GB2312" w:eastAsia="仿宋_GB2312" w:cs="仿宋_GB2312"/>
          <w:kern w:val="2"/>
          <w:sz w:val="32"/>
          <w:szCs w:val="32"/>
          <w:lang w:val="en-US"/>
        </w:rPr>
      </w:pPr>
      <w:r>
        <w:rPr>
          <w:rFonts w:hint="eastAsia" w:ascii="Calibri" w:eastAsia="仿宋_GB2312" w:cs="仿宋_GB2312"/>
          <w:sz w:val="32"/>
          <w:szCs w:val="32"/>
          <w:lang w:eastAsia="zh-CN"/>
        </w:rPr>
        <w:t>将日常监管信息作为信用体系构建依据。充分利用已有的风险分级评定、餐饮量化分级管理、日常监督检查、检验检测、行政处罚等数据，评估划分出信用等级分类的基本框架。开展创建示范倡导依法诚信经营。大力开展“食品安全示范社区”“示范店”“放心肉菜示范超市”等创建活动，帮助企业建立诚信档案，督促和指导其全面落实各项质量管理与诚信经营制度。利用</w:t>
      </w:r>
      <w:r>
        <w:rPr>
          <w:sz w:val="32"/>
          <w:szCs w:val="32"/>
          <w:lang w:val="en-US"/>
        </w:rPr>
        <w:t>“</w:t>
      </w:r>
      <w:r>
        <w:rPr>
          <w:rFonts w:hint="eastAsia" w:ascii="Calibri" w:eastAsia="仿宋_GB2312" w:cs="仿宋_GB2312"/>
          <w:sz w:val="32"/>
          <w:szCs w:val="32"/>
          <w:lang w:eastAsia="zh-CN"/>
        </w:rPr>
        <w:t>互联网</w:t>
      </w:r>
      <w:r>
        <w:rPr>
          <w:sz w:val="32"/>
          <w:szCs w:val="32"/>
          <w:lang w:val="en-US"/>
        </w:rPr>
        <w:t>+”</w:t>
      </w:r>
      <w:r>
        <w:rPr>
          <w:rFonts w:hint="eastAsia" w:ascii="Calibri" w:eastAsia="仿宋_GB2312" w:cs="仿宋_GB2312"/>
          <w:sz w:val="32"/>
          <w:szCs w:val="32"/>
          <w:lang w:eastAsia="zh-CN"/>
        </w:rPr>
        <w:t>有效发布信用信息。建设</w:t>
      </w:r>
      <w:r>
        <w:rPr>
          <w:sz w:val="32"/>
          <w:szCs w:val="32"/>
          <w:lang w:val="en-US"/>
        </w:rPr>
        <w:t>“</w:t>
      </w:r>
      <w:r>
        <w:rPr>
          <w:rFonts w:hint="eastAsia" w:ascii="Calibri" w:eastAsia="仿宋_GB2312" w:cs="仿宋_GB2312"/>
          <w:sz w:val="32"/>
          <w:szCs w:val="32"/>
          <w:lang w:eastAsia="zh-CN"/>
        </w:rPr>
        <w:t>智慧监管</w:t>
      </w:r>
      <w:r>
        <w:rPr>
          <w:sz w:val="32"/>
          <w:szCs w:val="32"/>
          <w:lang w:val="en-US"/>
        </w:rPr>
        <w:t>”</w:t>
      </w:r>
      <w:r>
        <w:rPr>
          <w:rFonts w:hint="eastAsia" w:ascii="Calibri" w:eastAsia="仿宋_GB2312" w:cs="仿宋_GB2312"/>
          <w:sz w:val="32"/>
          <w:szCs w:val="32"/>
          <w:lang w:eastAsia="zh-CN"/>
        </w:rPr>
        <w:t>系统平台，引用二维码技术，试行一企一码、扫码溯源，运用信用分类结果倒逼企业落实主体责任。</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420" w:leftChars="200" w:right="0" w:firstLine="0" w:firstLineChars="0"/>
        <w:jc w:val="both"/>
        <w:textAlignment w:val="auto"/>
        <w:rPr>
          <w:rFonts w:hint="eastAsia" w:ascii="楷体" w:hAnsi="楷体" w:eastAsia="楷体" w:cs="楷体"/>
          <w:sz w:val="32"/>
          <w:szCs w:val="32"/>
          <w:lang w:val="en-US"/>
        </w:rPr>
      </w:pPr>
      <w:r>
        <w:rPr>
          <w:rFonts w:hint="eastAsia" w:ascii="楷体" w:hAnsi="楷体" w:eastAsia="楷体" w:cs="楷体"/>
          <w:sz w:val="32"/>
          <w:szCs w:val="32"/>
          <w:lang w:eastAsia="zh-CN"/>
        </w:rPr>
        <w:t>（十三）发挥社会组织协同作用</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5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加强食品药品行业协会建设</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充分发挥行业协会和社会组织在提供信息服务、技术创新、培训交流、行业自律等方面的桥梁作用</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引导和督促生产经营者依法生产经营。积极引入保险、认证、审计、咨询等第三方机构和人员参与监管的工作机制</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完善食品药品安全责任保险等制度。</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420" w:leftChars="200" w:right="0" w:firstLine="0" w:firstLineChars="0"/>
        <w:jc w:val="both"/>
        <w:textAlignment w:val="auto"/>
        <w:rPr>
          <w:rFonts w:hint="eastAsia" w:ascii="楷体" w:hAnsi="楷体" w:eastAsia="楷体" w:cs="楷体"/>
          <w:sz w:val="32"/>
          <w:szCs w:val="32"/>
          <w:lang w:val="en-US"/>
        </w:rPr>
      </w:pPr>
      <w:r>
        <w:rPr>
          <w:rFonts w:hint="eastAsia" w:ascii="楷体" w:hAnsi="楷体" w:eastAsia="楷体" w:cs="楷体"/>
          <w:sz w:val="32"/>
          <w:szCs w:val="32"/>
          <w:lang w:eastAsia="zh-CN"/>
        </w:rPr>
        <w:t>（十四）加强社会舆论监督</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5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建立与新闻媒体经常性沟通合作机制</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支持开展公益性广告宣传和舆论监督</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真实、公正报道食品药品安全监管信息。构建正面舆论导向机制</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培育理性看待食品药品安全风险的舆论环境</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深化与主流媒体的专版</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专题、专栏</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合作</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提高公众食品药品安全认知水平和风险防范能力。完善突发事件舆论引导机制</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及时发布事件处置、风险评估等权威信息</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主动回应公众关切</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合理引导公众预期。</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420" w:leftChars="200" w:right="0" w:firstLine="0" w:firstLineChars="0"/>
        <w:jc w:val="both"/>
        <w:textAlignment w:val="auto"/>
        <w:rPr>
          <w:rFonts w:hint="eastAsia" w:ascii="楷体" w:hAnsi="楷体" w:eastAsia="楷体" w:cs="楷体"/>
          <w:sz w:val="32"/>
          <w:szCs w:val="32"/>
          <w:lang w:val="en-US"/>
        </w:rPr>
      </w:pPr>
      <w:r>
        <w:rPr>
          <w:rFonts w:hint="eastAsia" w:ascii="楷体" w:hAnsi="楷体" w:eastAsia="楷体" w:cs="楷体"/>
          <w:sz w:val="32"/>
          <w:szCs w:val="32"/>
          <w:lang w:eastAsia="zh-CN"/>
        </w:rPr>
        <w:t>（十五）构建共治格局</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sz w:val="32"/>
          <w:szCs w:val="32"/>
          <w:lang w:val="en-US"/>
        </w:rPr>
      </w:pPr>
      <w:r>
        <w:rPr>
          <w:rFonts w:hint="eastAsia" w:ascii="Calibri" w:hAnsi="Calibri" w:eastAsia="仿宋_GB2312" w:cs="仿宋_GB2312"/>
          <w:kern w:val="2"/>
          <w:sz w:val="32"/>
          <w:szCs w:val="32"/>
          <w:lang w:val="en-US" w:eastAsia="zh-CN" w:bidi="ar"/>
        </w:rPr>
        <w:t>强化公众监督，聘请食品</w:t>
      </w:r>
      <w:r>
        <w:rPr>
          <w:rFonts w:hint="eastAsia" w:ascii="仿宋_GB2312" w:hAnsi="仿宋_GB2312" w:eastAsia="仿宋_GB2312" w:cs="仿宋_GB2312"/>
          <w:kern w:val="2"/>
          <w:sz w:val="32"/>
          <w:szCs w:val="32"/>
          <w:lang w:val="en-US" w:eastAsia="zh-CN" w:bidi="ar"/>
        </w:rPr>
        <w:t>药品</w:t>
      </w:r>
      <w:r>
        <w:rPr>
          <w:rFonts w:hint="eastAsia" w:ascii="Calibri" w:hAnsi="Calibri" w:eastAsia="仿宋_GB2312" w:cs="仿宋_GB2312"/>
          <w:kern w:val="2"/>
          <w:sz w:val="32"/>
          <w:szCs w:val="32"/>
          <w:lang w:val="en-US" w:eastAsia="zh-CN" w:bidi="ar"/>
        </w:rPr>
        <w:t>安全监督员，深入企业开展巡查，查找问题，参与监管。联合各街道组织食品</w:t>
      </w:r>
      <w:r>
        <w:rPr>
          <w:rFonts w:hint="eastAsia" w:ascii="仿宋_GB2312" w:hAnsi="仿宋_GB2312" w:eastAsia="仿宋_GB2312" w:cs="仿宋_GB2312"/>
          <w:kern w:val="2"/>
          <w:sz w:val="32"/>
          <w:szCs w:val="32"/>
          <w:lang w:val="en-US" w:eastAsia="zh-CN" w:bidi="ar"/>
        </w:rPr>
        <w:t>药品</w:t>
      </w:r>
      <w:r>
        <w:rPr>
          <w:rFonts w:hint="eastAsia" w:ascii="Calibri" w:hAnsi="Calibri" w:eastAsia="仿宋_GB2312" w:cs="仿宋_GB2312"/>
          <w:kern w:val="2"/>
          <w:sz w:val="32"/>
          <w:szCs w:val="32"/>
          <w:lang w:val="en-US" w:eastAsia="zh-CN" w:bidi="ar"/>
        </w:rPr>
        <w:t>安全宣传志愿者，进社区、企业、学校宣讲食品</w:t>
      </w:r>
      <w:r>
        <w:rPr>
          <w:rFonts w:hint="eastAsia" w:ascii="仿宋_GB2312" w:hAnsi="仿宋_GB2312" w:eastAsia="仿宋_GB2312" w:cs="仿宋_GB2312"/>
          <w:kern w:val="2"/>
          <w:sz w:val="32"/>
          <w:szCs w:val="32"/>
          <w:lang w:val="en-US" w:eastAsia="zh-CN" w:bidi="ar"/>
        </w:rPr>
        <w:t>药品</w:t>
      </w:r>
      <w:r>
        <w:rPr>
          <w:rFonts w:hint="eastAsia" w:ascii="Calibri" w:hAnsi="Calibri" w:eastAsia="仿宋_GB2312" w:cs="仿宋_GB2312"/>
          <w:kern w:val="2"/>
          <w:sz w:val="32"/>
          <w:szCs w:val="32"/>
          <w:lang w:val="en-US" w:eastAsia="zh-CN" w:bidi="ar"/>
        </w:rPr>
        <w:t>安全；邀请市民代表深入企业，感受食品</w:t>
      </w:r>
      <w:r>
        <w:rPr>
          <w:rFonts w:hint="eastAsia" w:ascii="仿宋_GB2312" w:hAnsi="仿宋_GB2312" w:eastAsia="仿宋_GB2312" w:cs="仿宋_GB2312"/>
          <w:kern w:val="2"/>
          <w:sz w:val="32"/>
          <w:szCs w:val="32"/>
          <w:lang w:val="en-US" w:eastAsia="zh-CN" w:bidi="ar"/>
        </w:rPr>
        <w:t>药品</w:t>
      </w:r>
      <w:r>
        <w:rPr>
          <w:rFonts w:hint="eastAsia" w:ascii="Calibri" w:hAnsi="Calibri" w:eastAsia="仿宋_GB2312" w:cs="仿宋_GB2312"/>
          <w:kern w:val="2"/>
          <w:sz w:val="32"/>
          <w:szCs w:val="32"/>
          <w:lang w:val="en-US" w:eastAsia="zh-CN" w:bidi="ar"/>
        </w:rPr>
        <w:t>安全。建立起统一的市场监管维权体系，优化食品</w:t>
      </w:r>
      <w:r>
        <w:rPr>
          <w:rFonts w:hint="eastAsia" w:ascii="仿宋_GB2312" w:hAnsi="仿宋_GB2312" w:eastAsia="仿宋_GB2312" w:cs="仿宋_GB2312"/>
          <w:kern w:val="2"/>
          <w:sz w:val="32"/>
          <w:szCs w:val="32"/>
          <w:lang w:val="en-US" w:eastAsia="zh-CN" w:bidi="ar"/>
        </w:rPr>
        <w:t>药品</w:t>
      </w:r>
      <w:r>
        <w:rPr>
          <w:rFonts w:hint="eastAsia" w:ascii="Calibri" w:hAnsi="Calibri" w:eastAsia="仿宋_GB2312" w:cs="仿宋_GB2312"/>
          <w:kern w:val="2"/>
          <w:sz w:val="32"/>
          <w:szCs w:val="32"/>
          <w:lang w:val="en-US" w:eastAsia="zh-CN" w:bidi="ar"/>
        </w:rPr>
        <w:t>安全投诉举报机制。健全和完善首问责任制、消费纠纷受理关口前移制、限时办理制，及时改进食品</w:t>
      </w:r>
      <w:r>
        <w:rPr>
          <w:rFonts w:hint="eastAsia" w:ascii="仿宋_GB2312" w:hAnsi="仿宋_GB2312" w:eastAsia="仿宋_GB2312" w:cs="仿宋_GB2312"/>
          <w:kern w:val="2"/>
          <w:sz w:val="32"/>
          <w:szCs w:val="32"/>
          <w:lang w:val="en-US" w:eastAsia="zh-CN" w:bidi="ar"/>
        </w:rPr>
        <w:t>药品</w:t>
      </w:r>
      <w:r>
        <w:rPr>
          <w:rFonts w:hint="eastAsia" w:ascii="Calibri" w:hAnsi="Calibri" w:eastAsia="仿宋_GB2312" w:cs="仿宋_GB2312"/>
          <w:kern w:val="2"/>
          <w:sz w:val="32"/>
          <w:szCs w:val="32"/>
          <w:lang w:val="en-US" w:eastAsia="zh-CN" w:bidi="ar"/>
        </w:rPr>
        <w:t>安全工作，回应人民群众诉求和期待。</w:t>
      </w:r>
      <w:r>
        <w:rPr>
          <w:rFonts w:hint="eastAsia" w:ascii="仿宋_GB2312" w:hAnsi="仿宋_GB2312" w:eastAsia="仿宋_GB2312" w:cs="仿宋_GB2312"/>
          <w:kern w:val="2"/>
          <w:sz w:val="32"/>
          <w:szCs w:val="32"/>
          <w:lang w:val="en-US" w:eastAsia="zh-CN" w:bidi="ar"/>
        </w:rPr>
        <w:t>到2025年全区创建不少于5个食品安全示范街区（路段、楼宇）、约100家实体食品经营示范店。</w:t>
      </w:r>
    </w:p>
    <w:p>
      <w:pPr>
        <w:keepNext w:val="0"/>
        <w:keepLines w:val="0"/>
        <w:pageBreakBefore w:val="0"/>
        <w:widowControl w:val="0"/>
        <w:numPr>
          <w:ilvl w:val="0"/>
          <w:numId w:val="4"/>
        </w:numPr>
        <w:suppressLineNumbers w:val="0"/>
        <w:kinsoku/>
        <w:wordWrap/>
        <w:overflowPunct/>
        <w:topLinePunct w:val="0"/>
        <w:autoSpaceDE/>
        <w:autoSpaceDN/>
        <w:bidi w:val="0"/>
        <w:snapToGrid w:val="0"/>
        <w:spacing w:before="0" w:beforeAutospacing="0" w:after="0" w:afterAutospacing="0" w:line="600" w:lineRule="exact"/>
        <w:ind w:left="0" w:right="0" w:firstLine="640" w:firstLineChars="200"/>
        <w:jc w:val="both"/>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规划实施保障</w:t>
      </w:r>
    </w:p>
    <w:p>
      <w:pPr>
        <w:pStyle w:val="3"/>
        <w:keepNext w:val="0"/>
        <w:keepLines w:val="0"/>
        <w:pageBreakBefore w:val="0"/>
        <w:widowControl/>
        <w:kinsoku/>
        <w:wordWrap/>
        <w:overflowPunct/>
        <w:topLinePunct w:val="0"/>
        <w:autoSpaceDE/>
        <w:autoSpaceDN/>
        <w:bidi w:val="0"/>
        <w:snapToGrid w:val="0"/>
        <w:spacing w:line="600" w:lineRule="exact"/>
        <w:ind w:left="0" w:firstLine="650"/>
        <w:textAlignment w:val="auto"/>
        <w:rPr>
          <w:rFonts w:hint="eastAsia" w:ascii="楷体" w:hAnsi="楷体" w:eastAsia="楷体" w:cs="楷体"/>
          <w:sz w:val="32"/>
          <w:szCs w:val="32"/>
          <w:lang w:val="en-US"/>
        </w:rPr>
      </w:pPr>
      <w:r>
        <w:rPr>
          <w:rFonts w:hint="eastAsia" w:ascii="楷体" w:hAnsi="楷体" w:eastAsia="楷体" w:cs="楷体"/>
          <w:sz w:val="32"/>
          <w:szCs w:val="32"/>
          <w:lang w:eastAsia="zh-CN"/>
        </w:rPr>
        <w:t>（一）加强组织领导，明确各方职责</w:t>
      </w:r>
    </w:p>
    <w:p>
      <w:pPr>
        <w:pStyle w:val="3"/>
        <w:keepNext w:val="0"/>
        <w:keepLines w:val="0"/>
        <w:pageBreakBefore w:val="0"/>
        <w:widowControl/>
        <w:kinsoku/>
        <w:wordWrap/>
        <w:overflowPunct/>
        <w:topLinePunct w:val="0"/>
        <w:autoSpaceDE/>
        <w:autoSpaceDN/>
        <w:bidi w:val="0"/>
        <w:snapToGrid w:val="0"/>
        <w:spacing w:line="600" w:lineRule="exact"/>
        <w:ind w:left="0" w:firstLine="650"/>
        <w:textAlignment w:val="auto"/>
      </w:pPr>
      <w:r>
        <w:rPr>
          <w:rFonts w:hint="eastAsia" w:ascii="Calibri" w:eastAsia="仿宋_GB2312" w:cs="仿宋_GB2312"/>
          <w:sz w:val="32"/>
          <w:szCs w:val="32"/>
          <w:lang w:eastAsia="zh-CN"/>
        </w:rPr>
        <w:t>在区各级党政领导干部食品安全工作责任清单的基础上，明确各级党政领导干部食品药品安全工作职责，确保食品药品安全各项责任落实到位。各部门要提高政治站位，主动作为，将食品药品安全作为一项重大政治任务来抓，强化区、街、社区三级食药安全机构职责，提高食品药品安全监管综合协调能力，严格落实食品安全属地责任。各单位对照本部门工作职责和工作实际，不断强化各部门联动工作机制，有目标、有步骤，高标准、高质量地完成各项工作任务。</w:t>
      </w:r>
    </w:p>
    <w:p>
      <w:pPr>
        <w:pStyle w:val="3"/>
        <w:keepNext w:val="0"/>
        <w:keepLines w:val="0"/>
        <w:pageBreakBefore w:val="0"/>
        <w:widowControl/>
        <w:kinsoku/>
        <w:wordWrap/>
        <w:overflowPunct/>
        <w:topLinePunct w:val="0"/>
        <w:autoSpaceDE/>
        <w:autoSpaceDN/>
        <w:bidi w:val="0"/>
        <w:snapToGrid w:val="0"/>
        <w:spacing w:line="600" w:lineRule="exact"/>
        <w:ind w:left="0" w:firstLine="650"/>
        <w:textAlignment w:val="auto"/>
        <w:rPr>
          <w:rFonts w:hint="eastAsia" w:ascii="楷体" w:hAnsi="楷体" w:eastAsia="楷体" w:cs="楷体"/>
          <w:sz w:val="32"/>
          <w:szCs w:val="32"/>
          <w:lang w:val="en-US"/>
        </w:rPr>
      </w:pPr>
      <w:r>
        <w:rPr>
          <w:rFonts w:hint="eastAsia" w:ascii="楷体" w:hAnsi="楷体" w:eastAsia="楷体" w:cs="楷体"/>
          <w:sz w:val="32"/>
          <w:szCs w:val="32"/>
          <w:lang w:eastAsia="zh-CN"/>
        </w:rPr>
        <w:t>（二）强化基层建设，提高专业能力</w:t>
      </w:r>
    </w:p>
    <w:p>
      <w:pPr>
        <w:pStyle w:val="3"/>
        <w:keepNext w:val="0"/>
        <w:keepLines w:val="0"/>
        <w:pageBreakBefore w:val="0"/>
        <w:widowControl/>
        <w:kinsoku/>
        <w:wordWrap/>
        <w:overflowPunct/>
        <w:topLinePunct w:val="0"/>
        <w:autoSpaceDE/>
        <w:autoSpaceDN/>
        <w:bidi w:val="0"/>
        <w:snapToGrid w:val="0"/>
        <w:spacing w:line="600" w:lineRule="exact"/>
        <w:ind w:left="0" w:firstLine="650"/>
        <w:textAlignment w:val="auto"/>
        <w:rPr>
          <w:sz w:val="32"/>
          <w:szCs w:val="32"/>
          <w:lang w:val="en-US"/>
        </w:rPr>
      </w:pPr>
      <w:r>
        <w:rPr>
          <w:rFonts w:hint="eastAsia" w:ascii="Calibri" w:eastAsia="仿宋_GB2312" w:cs="仿宋_GB2312"/>
          <w:sz w:val="32"/>
          <w:szCs w:val="32"/>
          <w:lang w:eastAsia="zh-CN"/>
        </w:rPr>
        <w:t>各部门全面落实培训要求，充分发挥群众力量，不断加强基层食品药品安全队伍建设和基层综合执法监管骨干队伍专业化建设，充分运用区块链、大数据、云计算、物联网等新技术，提高智能监管水平和专业监管能力，夯实基层监管基础。</w:t>
      </w:r>
    </w:p>
    <w:p>
      <w:pPr>
        <w:pStyle w:val="3"/>
        <w:keepNext w:val="0"/>
        <w:keepLines w:val="0"/>
        <w:pageBreakBefore w:val="0"/>
        <w:widowControl/>
        <w:kinsoku/>
        <w:wordWrap/>
        <w:overflowPunct/>
        <w:topLinePunct w:val="0"/>
        <w:autoSpaceDE/>
        <w:autoSpaceDN/>
        <w:bidi w:val="0"/>
        <w:snapToGrid w:val="0"/>
        <w:spacing w:line="600" w:lineRule="exact"/>
        <w:ind w:left="0" w:firstLine="650"/>
        <w:textAlignment w:val="auto"/>
        <w:rPr>
          <w:rFonts w:hint="eastAsia" w:ascii="楷体" w:hAnsi="楷体" w:eastAsia="楷体" w:cs="楷体"/>
          <w:sz w:val="32"/>
          <w:szCs w:val="32"/>
          <w:lang w:val="en-US"/>
        </w:rPr>
      </w:pPr>
      <w:r>
        <w:rPr>
          <w:rFonts w:hint="eastAsia" w:ascii="楷体" w:hAnsi="楷体" w:eastAsia="楷体" w:cs="楷体"/>
          <w:sz w:val="32"/>
          <w:szCs w:val="32"/>
          <w:lang w:eastAsia="zh-CN"/>
        </w:rPr>
        <w:t>（三）严格考核评估，提升工作成效</w:t>
      </w:r>
    </w:p>
    <w:p>
      <w:pPr>
        <w:pStyle w:val="3"/>
        <w:keepNext w:val="0"/>
        <w:keepLines w:val="0"/>
        <w:pageBreakBefore w:val="0"/>
        <w:widowControl/>
        <w:kinsoku/>
        <w:wordWrap/>
        <w:overflowPunct/>
        <w:topLinePunct w:val="0"/>
        <w:autoSpaceDE/>
        <w:autoSpaceDN/>
        <w:bidi w:val="0"/>
        <w:snapToGrid w:val="0"/>
        <w:spacing w:line="600" w:lineRule="exact"/>
        <w:ind w:left="0" w:firstLine="650"/>
        <w:textAlignment w:val="auto"/>
        <w:rPr>
          <w:sz w:val="32"/>
          <w:szCs w:val="32"/>
          <w:lang w:val="en-US"/>
        </w:rPr>
      </w:pPr>
      <w:r>
        <w:rPr>
          <w:rFonts w:hint="eastAsia" w:ascii="Calibri" w:eastAsia="仿宋_GB2312" w:cs="仿宋_GB2312"/>
          <w:sz w:val="32"/>
          <w:szCs w:val="32"/>
          <w:lang w:eastAsia="zh-CN"/>
        </w:rPr>
        <w:t>根据市食安办及区委区政府要求，充分发挥区食安办的监督考评作用，不断完善对各单位的食品药品安全工作考核机制，将《规划》内容落实到每一项具体考核指标中，作为考核评价的重要内容。同时，持续对主要任务和重点工作进行动态跟踪，加强督促检查、中期考核和效果评估，确保各项任务落实到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both"/>
        <w:textAlignment w:val="auto"/>
        <w:rPr>
          <w:sz w:val="32"/>
          <w:szCs w:val="32"/>
          <w:lang w:val="en-US"/>
        </w:rPr>
      </w:pPr>
    </w:p>
    <w:p>
      <w:pPr>
        <w:keepNext w:val="0"/>
        <w:keepLines w:val="0"/>
        <w:pageBreakBefore w:val="0"/>
        <w:kinsoku/>
        <w:wordWrap/>
        <w:overflowPunct/>
        <w:topLinePunct w:val="0"/>
        <w:autoSpaceDE/>
        <w:autoSpaceDN/>
        <w:bidi w:val="0"/>
        <w:adjustRightInd w:val="0"/>
        <w:snapToGrid w:val="0"/>
        <w:spacing w:line="600" w:lineRule="exact"/>
        <w:ind w:left="1895" w:leftChars="750" w:hanging="320" w:hangingChars="100"/>
        <w:jc w:val="left"/>
        <w:textAlignment w:val="auto"/>
        <w:rPr>
          <w:rFonts w:hint="eastAsia" w:ascii="仿宋_GB2312" w:eastAsia="仿宋_GB2312"/>
          <w:bCs/>
          <w:sz w:val="32"/>
          <w:szCs w:val="32"/>
        </w:rPr>
      </w:pPr>
    </w:p>
    <w:p>
      <w:pPr>
        <w:keepNext w:val="0"/>
        <w:keepLines w:val="0"/>
        <w:pageBreakBefore w:val="0"/>
        <w:kinsoku/>
        <w:wordWrap/>
        <w:overflowPunct/>
        <w:topLinePunct w:val="0"/>
        <w:autoSpaceDE/>
        <w:autoSpaceDN/>
        <w:bidi w:val="0"/>
        <w:adjustRightInd w:val="0"/>
        <w:snapToGrid w:val="0"/>
        <w:spacing w:line="600" w:lineRule="exact"/>
        <w:ind w:left="1895" w:leftChars="750" w:hanging="320" w:hangingChars="100"/>
        <w:jc w:val="left"/>
        <w:textAlignment w:val="auto"/>
        <w:rPr>
          <w:rFonts w:hint="eastAsia" w:ascii="仿宋_GB2312" w:eastAsia="仿宋_GB2312"/>
          <w:bCs/>
          <w:sz w:val="32"/>
          <w:szCs w:val="32"/>
        </w:rPr>
      </w:pPr>
    </w:p>
    <w:p>
      <w:pPr>
        <w:keepNext w:val="0"/>
        <w:keepLines w:val="0"/>
        <w:pageBreakBefore w:val="0"/>
        <w:kinsoku/>
        <w:wordWrap/>
        <w:overflowPunct/>
        <w:topLinePunct w:val="0"/>
        <w:autoSpaceDE/>
        <w:autoSpaceDN/>
        <w:bidi w:val="0"/>
        <w:adjustRightInd w:val="0"/>
        <w:snapToGrid w:val="0"/>
        <w:spacing w:line="600" w:lineRule="exact"/>
        <w:ind w:left="1895" w:leftChars="750" w:hanging="320" w:hangingChars="100"/>
        <w:jc w:val="left"/>
        <w:textAlignment w:val="auto"/>
        <w:rPr>
          <w:rFonts w:hint="eastAsia" w:ascii="仿宋_GB2312" w:eastAsia="仿宋_GB2312"/>
          <w:bCs/>
          <w:sz w:val="32"/>
          <w:szCs w:val="32"/>
        </w:rPr>
      </w:pPr>
    </w:p>
    <w:p>
      <w:pPr>
        <w:keepNext w:val="0"/>
        <w:keepLines w:val="0"/>
        <w:pageBreakBefore w:val="0"/>
        <w:kinsoku/>
        <w:wordWrap/>
        <w:overflowPunct/>
        <w:topLinePunct w:val="0"/>
        <w:autoSpaceDE/>
        <w:autoSpaceDN/>
        <w:bidi w:val="0"/>
        <w:adjustRightInd w:val="0"/>
        <w:snapToGrid w:val="0"/>
        <w:spacing w:line="600" w:lineRule="exact"/>
        <w:ind w:left="4844" w:hanging="4844" w:hangingChars="1514"/>
        <w:jc w:val="left"/>
        <w:textAlignment w:val="auto"/>
        <w:rPr>
          <w:rFonts w:hint="eastAsia" w:ascii="仿宋_GB2312" w:eastAsia="仿宋_GB2312"/>
          <w:bCs/>
          <w:sz w:val="32"/>
          <w:szCs w:val="32"/>
        </w:rPr>
      </w:pPr>
      <w:r>
        <w:rPr>
          <w:rFonts w:hint="eastAsia" w:ascii="仿宋_GB2312" w:eastAsia="仿宋_GB2312"/>
          <w:bCs/>
          <w:sz w:val="32"/>
          <w:szCs w:val="32"/>
        </w:rPr>
        <w:t xml:space="preserve">                      </w:t>
      </w:r>
      <w:r>
        <w:rPr>
          <w:rFonts w:hint="eastAsia" w:ascii="仿宋_GB2312" w:eastAsia="仿宋_GB2312"/>
          <w:bCs/>
          <w:sz w:val="32"/>
          <w:szCs w:val="32"/>
          <w:lang w:val="en-US" w:eastAsia="zh-CN"/>
        </w:rPr>
        <w:t xml:space="preserve"> </w:t>
      </w:r>
      <w:r>
        <w:rPr>
          <w:rFonts w:hint="eastAsia" w:ascii="仿宋_GB2312" w:eastAsia="仿宋_GB2312"/>
          <w:bCs/>
          <w:sz w:val="32"/>
          <w:szCs w:val="32"/>
        </w:rPr>
        <w:t xml:space="preserve"> </w:t>
      </w:r>
      <w:r>
        <w:rPr>
          <w:rFonts w:hint="eastAsia" w:ascii="仿宋_GB2312" w:eastAsia="仿宋_GB2312"/>
          <w:bCs/>
          <w:sz w:val="32"/>
          <w:szCs w:val="32"/>
          <w:lang w:val="en-US" w:eastAsia="zh-CN"/>
        </w:rPr>
        <w:t xml:space="preserve"> </w:t>
      </w:r>
      <w:r>
        <w:rPr>
          <w:rFonts w:hint="eastAsia" w:ascii="仿宋_GB2312" w:eastAsia="仿宋_GB2312"/>
          <w:bCs/>
          <w:sz w:val="32"/>
          <w:szCs w:val="32"/>
        </w:rPr>
        <w:t>大连市西岗区市场监督管理局                           2021年</w:t>
      </w:r>
      <w:r>
        <w:rPr>
          <w:rFonts w:hint="eastAsia" w:ascii="仿宋_GB2312" w:eastAsia="仿宋_GB2312"/>
          <w:bCs/>
          <w:sz w:val="32"/>
          <w:szCs w:val="32"/>
          <w:lang w:val="en-US" w:eastAsia="zh-CN"/>
        </w:rPr>
        <w:t>5</w:t>
      </w:r>
      <w:r>
        <w:rPr>
          <w:rFonts w:hint="eastAsia" w:ascii="仿宋_GB2312" w:eastAsia="仿宋_GB2312"/>
          <w:bCs/>
          <w:sz w:val="32"/>
          <w:szCs w:val="32"/>
        </w:rPr>
        <w:t>月</w:t>
      </w:r>
      <w:r>
        <w:rPr>
          <w:rFonts w:hint="eastAsia" w:ascii="仿宋_GB2312" w:eastAsia="仿宋_GB2312"/>
          <w:bCs/>
          <w:sz w:val="32"/>
          <w:szCs w:val="32"/>
          <w:lang w:val="en-US" w:eastAsia="zh-CN"/>
        </w:rPr>
        <w:t>27</w:t>
      </w:r>
      <w:r>
        <w:rPr>
          <w:rFonts w:hint="eastAsia" w:ascii="仿宋_GB2312" w:eastAsia="仿宋_GB2312"/>
          <w:bCs/>
          <w:sz w:val="32"/>
          <w:szCs w:val="32"/>
        </w:rPr>
        <w:t>日</w:t>
      </w:r>
    </w:p>
    <w:p>
      <w:pPr>
        <w:adjustRightInd w:val="0"/>
        <w:snapToGrid w:val="0"/>
        <w:spacing w:line="600" w:lineRule="exact"/>
        <w:ind w:left="4528" w:hanging="4528" w:hangingChars="1415"/>
        <w:jc w:val="left"/>
        <w:rPr>
          <w:rFonts w:hint="eastAsia" w:ascii="仿宋_GB2312" w:eastAsia="仿宋_GB2312"/>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262A9"/>
    <w:multiLevelType w:val="multilevel"/>
    <w:tmpl w:val="82D262A9"/>
    <w:lvl w:ilvl="0" w:tentative="0">
      <w:start w:val="2"/>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98ED2796"/>
    <w:multiLevelType w:val="multilevel"/>
    <w:tmpl w:val="98ED2796"/>
    <w:lvl w:ilvl="0" w:tentative="0">
      <w:start w:val="6"/>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C8A5FDDD"/>
    <w:multiLevelType w:val="multilevel"/>
    <w:tmpl w:val="C8A5FDDD"/>
    <w:lvl w:ilvl="0" w:tentative="0">
      <w:start w:val="5"/>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EF05B830"/>
    <w:multiLevelType w:val="multilevel"/>
    <w:tmpl w:val="EF05B830"/>
    <w:lvl w:ilvl="0" w:tentative="0">
      <w:start w:val="1"/>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NDEyZWNhNzk2YzJhMTEwYTMyNzczMzRiNWNlYTMifQ=="/>
  </w:docVars>
  <w:rsids>
    <w:rsidRoot w:val="00000000"/>
    <w:rsid w:val="270663C0"/>
    <w:rsid w:val="7BA85CD3"/>
    <w:rsid w:val="7BCB6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eastAsia" w:ascii="宋体" w:hAnsi="Courier New" w:eastAsia="仿宋_GB2312" w:cs="Courier New"/>
      <w:kern w:val="2"/>
      <w:sz w:val="30"/>
      <w:szCs w:val="21"/>
      <w:lang w:val="en-US" w:eastAsia="zh-CN" w:bidi="ar"/>
    </w:rPr>
  </w:style>
  <w:style w:type="paragraph" w:styleId="3">
    <w:name w:val="Body Text 2"/>
    <w:basedOn w:val="1"/>
    <w:qFormat/>
    <w:uiPriority w:val="0"/>
    <w:pPr>
      <w:keepNext w:val="0"/>
      <w:keepLines w:val="0"/>
      <w:widowControl w:val="0"/>
      <w:suppressLineNumbers w:val="0"/>
      <w:spacing w:before="0" w:beforeAutospacing="0" w:after="0" w:afterAutospacing="0" w:line="360" w:lineRule="auto"/>
      <w:ind w:left="0" w:right="0" w:firstLine="1840" w:firstLineChars="200"/>
      <w:jc w:val="both"/>
    </w:pPr>
    <w:rPr>
      <w:rFonts w:hint="default" w:ascii="Calibri" w:hAnsi="Calibri" w:eastAsia="仿宋_GB2312" w:cs="Times New Roman"/>
      <w:kern w:val="2"/>
      <w:sz w:val="30"/>
      <w:szCs w:val="22"/>
      <w:lang w:val="en-US" w:eastAsia="zh-CN" w:bidi="ar"/>
    </w:rPr>
  </w:style>
  <w:style w:type="paragraph" w:styleId="4">
    <w:name w:val="Normal (Web)"/>
    <w:basedOn w:val="1"/>
    <w:autoRedefine/>
    <w:qFormat/>
    <w:uiPriority w:val="0"/>
    <w:pPr>
      <w:keepNext w:val="0"/>
      <w:keepLines w:val="0"/>
      <w:widowControl w:val="0"/>
      <w:suppressLineNumbers w:val="0"/>
      <w:spacing w:before="100" w:beforeAutospacing="1" w:after="100" w:afterAutospacing="1" w:line="360" w:lineRule="auto"/>
      <w:ind w:left="0" w:right="0" w:firstLine="200" w:firstLineChars="200"/>
      <w:jc w:val="left"/>
    </w:pPr>
    <w:rPr>
      <w:rFonts w:hint="default" w:ascii="Calibri" w:hAnsi="Calibri" w:eastAsia="仿宋_GB2312" w:cs="Times New Roman"/>
      <w:kern w:val="0"/>
      <w:sz w:val="24"/>
      <w:szCs w:val="22"/>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8197</Words>
  <Characters>8276</Characters>
  <Lines>0</Lines>
  <Paragraphs>0</Paragraphs>
  <TotalTime>4</TotalTime>
  <ScaleCrop>false</ScaleCrop>
  <LinksUpToDate>false</LinksUpToDate>
  <CharactersWithSpaces>8345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2023-03-06T01:39:00Z</dcterms:created>
  <dc:creator>Administrator</dc:creator>
  <cp:lastModifiedBy>Administrator</cp:lastModifiedBy>
  <dcterms:modified xsi:type="dcterms:W3CDTF">2024-04-19T06:45:39Z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864125AAEB6148F7BC125D62B7830D66</vt:lpwstr>
  </property>
</Properties>
</file>