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CE22E">
      <w:pPr>
        <w:keepNext w:val="0"/>
        <w:keepLines w:val="0"/>
        <w:pageBreakBefore w:val="0"/>
        <w:widowControl w:val="0"/>
        <w:kinsoku/>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区经济发展服务中心</w:t>
      </w:r>
    </w:p>
    <w:p w14:paraId="1914774D">
      <w:pPr>
        <w:keepNext w:val="0"/>
        <w:keepLines w:val="0"/>
        <w:pageBreakBefore w:val="0"/>
        <w:widowControl w:val="0"/>
        <w:kinsoku/>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2025年度法治政府建设情况报告</w:t>
      </w:r>
    </w:p>
    <w:p w14:paraId="5099DB71">
      <w:pPr>
        <w:keepNext w:val="0"/>
        <w:keepLines w:val="0"/>
        <w:pageBreakBefore w:val="0"/>
        <w:widowControl w:val="0"/>
        <w:kinsoku/>
        <w:overflowPunct/>
        <w:topLinePunct w:val="0"/>
        <w:autoSpaceDE/>
        <w:autoSpaceDN/>
        <w:bidi w:val="0"/>
        <w:adjustRightInd/>
        <w:snapToGrid/>
        <w:spacing w:line="540" w:lineRule="exact"/>
        <w:textAlignment w:val="auto"/>
        <w:rPr>
          <w:rFonts w:hint="eastAsia"/>
        </w:rPr>
      </w:pPr>
    </w:p>
    <w:p w14:paraId="7AF658FC">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仿宋" w:hAnsi="仿宋" w:eastAsia="仿宋" w:cs="仿宋"/>
          <w:sz w:val="32"/>
          <w:szCs w:val="32"/>
        </w:rPr>
      </w:pPr>
      <w:r>
        <w:rPr>
          <w:rFonts w:hint="eastAsia" w:ascii="仿宋" w:hAnsi="仿宋" w:eastAsia="仿宋" w:cs="仿宋"/>
          <w:sz w:val="32"/>
          <w:szCs w:val="32"/>
        </w:rPr>
        <w:t>区委、区政府：</w:t>
      </w:r>
    </w:p>
    <w:p w14:paraId="685ACF0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2025年，区经济发展服务中心坚持以习近平新时代中国特色社会主义思想为指导，深入学习贯彻习近平法治思想，认真落实党中央、国务院关于法治政府建设的决策部署及区委、区政府工作要求，持续强化组织领导，严格依法履职，扎实推进法治政府建设各项工作。按照《关于做好2025年法治政府建设情况报告工作的通知》要求，现将有关情况报告如下：</w:t>
      </w:r>
    </w:p>
    <w:p w14:paraId="7DC56F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、2024年度法治政府建设主要问题整改情况</w:t>
      </w:r>
    </w:p>
    <w:p w14:paraId="2FD7C0D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针对2024年度报告中指出的“法治宣传教育形式不够生动”“法治建设重视程度有待提高”等问题，中心认真抓好整改：关于宣传形式问题，增加专项普法、法律知识测试等互动性较强的形式，并将普法融入服务企业实践，通过“以案释法”增强学习的生动性。关于重视程度问题，将法治建设纳入年度重点工作计划，与业务工作同部署、同推进，加强对各科室法治建设工作的日常提醒，推动形成重视法治、践行法治的自觉意识。</w:t>
      </w:r>
    </w:p>
    <w:p w14:paraId="5639BC0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以上问题已取得阶段性整改成效，并将持续巩固提升。</w:t>
      </w:r>
    </w:p>
    <w:p w14:paraId="588E213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、2025年推进法治政府建设的主要举措和成效</w:t>
      </w:r>
    </w:p>
    <w:p w14:paraId="5D74620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（一）强化理论武装，推动法治学习走深走实</w:t>
      </w:r>
    </w:p>
    <w:p w14:paraId="7EE65DC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持续深化党组理论学习中心组学法制度。</w:t>
      </w:r>
      <w:r>
        <w:rPr>
          <w:rFonts w:hint="eastAsia" w:ascii="仿宋" w:hAnsi="仿宋" w:eastAsia="仿宋" w:cs="仿宋"/>
          <w:sz w:val="32"/>
          <w:szCs w:val="32"/>
          <w:lang w:val="en-US" w:eastAsia="zh-CN"/>
        </w:rPr>
        <w:t>本年度</w:t>
      </w:r>
      <w:r>
        <w:rPr>
          <w:rFonts w:hint="eastAsia" w:ascii="仿宋" w:hAnsi="仿宋" w:eastAsia="仿宋" w:cs="仿宋"/>
          <w:sz w:val="32"/>
          <w:szCs w:val="32"/>
        </w:rPr>
        <w:t>进一步将《优化营商环境条例》《中小企业促进法》《外商投资法实施条例》等服务经济密切相关的法规纳入重点学习内容。全年组织中心组专题学习2次，深入学习《习近平法治思想学习纲要》，通过领学研读、交流研讨，不断提升领导干部运用法治思维和法治方式解决问题的能力。注重增强学法实效。组织开展“优化法治化营商环境”专项普法活动，内容覆盖市场准入、公平竞争、产权保护等重点领域；发放《民法典应知应会200问》等学习资料，实现关键岗位人员全覆盖。</w:t>
      </w:r>
    </w:p>
    <w:p w14:paraId="2DFDD4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（二）深化法治宣传，营造浓厚法治氛围</w:t>
      </w:r>
    </w:p>
    <w:p w14:paraId="2EED83D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严格落实“谁执法谁普法、谁管理谁普法、谁服务谁普法”责任制。</w:t>
      </w:r>
      <w:r>
        <w:rPr>
          <w:rFonts w:hint="eastAsia" w:ascii="仿宋" w:hAnsi="仿宋" w:eastAsia="仿宋" w:cs="仿宋"/>
          <w:sz w:val="32"/>
          <w:szCs w:val="32"/>
          <w:lang w:val="en-US" w:eastAsia="zh-CN"/>
        </w:rPr>
        <w:t>在</w:t>
      </w:r>
      <w:r>
        <w:rPr>
          <w:rFonts w:hint="eastAsia" w:ascii="仿宋" w:hAnsi="仿宋" w:eastAsia="仿宋" w:cs="仿宋"/>
          <w:sz w:val="32"/>
          <w:szCs w:val="32"/>
        </w:rPr>
        <w:t>依托“中国普法”公众号、官方网站等线上平台的基础上，更加注重普法与服务企业实践的深度融合。结合全民国家安全教育日、民法典宣传月、国家宪法日等节点，持续开展常态化保密、国安宣传教育，将党内法规学习纳入党支部学习范畴。通过常态化学法用法，中心内部尊法学法守法用法的氛围更加浓厚，</w:t>
      </w:r>
      <w:r>
        <w:rPr>
          <w:rFonts w:hint="eastAsia" w:ascii="仿宋" w:hAnsi="仿宋" w:eastAsia="仿宋" w:cs="仿宋"/>
          <w:sz w:val="32"/>
          <w:szCs w:val="32"/>
          <w:lang w:val="en-US" w:eastAsia="zh-CN"/>
        </w:rPr>
        <w:t>中心</w:t>
      </w:r>
      <w:r>
        <w:rPr>
          <w:rFonts w:hint="eastAsia" w:ascii="仿宋" w:hAnsi="仿宋" w:eastAsia="仿宋" w:cs="仿宋"/>
          <w:sz w:val="32"/>
          <w:szCs w:val="32"/>
        </w:rPr>
        <w:t>干部的法治素养得到整体提升。</w:t>
      </w:r>
    </w:p>
    <w:p w14:paraId="1A8ECF0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（三）结合业务工作，持续优化法治化营商环境</w:t>
      </w:r>
    </w:p>
    <w:p w14:paraId="2570F9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将法治建设融入服务企业全过程。在去年帮助企业快速完成注册、应对劳动争议等工作的基础上，今年进一步拓展依法服务的广度和深度。招商引资</w:t>
      </w:r>
      <w:r>
        <w:rPr>
          <w:rFonts w:hint="eastAsia" w:ascii="仿宋" w:hAnsi="仿宋" w:eastAsia="仿宋" w:cs="仿宋"/>
          <w:sz w:val="32"/>
          <w:szCs w:val="32"/>
          <w:lang w:val="en-US" w:eastAsia="zh-CN"/>
        </w:rPr>
        <w:t>过程</w:t>
      </w:r>
      <w:r>
        <w:rPr>
          <w:rFonts w:hint="eastAsia" w:ascii="仿宋" w:hAnsi="仿宋" w:eastAsia="仿宋" w:cs="仿宋"/>
          <w:sz w:val="32"/>
          <w:szCs w:val="32"/>
        </w:rPr>
        <w:t>中，严格遵守国家法律法规和产业政策，协助企业依法依规进行协议签订，保障各方合法权益。按照法律规定帮助项目开展法律审查，助推合规落地。企业服务</w:t>
      </w:r>
      <w:r>
        <w:rPr>
          <w:rFonts w:hint="eastAsia" w:ascii="仿宋" w:hAnsi="仿宋" w:eastAsia="仿宋" w:cs="仿宋"/>
          <w:sz w:val="32"/>
          <w:szCs w:val="32"/>
          <w:lang w:val="en-US" w:eastAsia="zh-CN"/>
        </w:rPr>
        <w:t>过程</w:t>
      </w:r>
      <w:r>
        <w:rPr>
          <w:rFonts w:hint="eastAsia" w:ascii="仿宋" w:hAnsi="仿宋" w:eastAsia="仿宋" w:cs="仿宋"/>
          <w:sz w:val="32"/>
          <w:szCs w:val="32"/>
        </w:rPr>
        <w:t>中，继续为企业提供法律咨询和指导，通过政策解读等形式，将法律要求细化到服务环节，确保惠企政策落实不跑偏。</w:t>
      </w:r>
    </w:p>
    <w:p w14:paraId="486018A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（四）健全工作机制，提升依法行政水平</w:t>
      </w:r>
    </w:p>
    <w:p w14:paraId="74B482D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坚持科学民主依法决策。持续完善决策机制</w:t>
      </w:r>
      <w:r>
        <w:rPr>
          <w:rFonts w:hint="eastAsia" w:ascii="仿宋" w:hAnsi="仿宋" w:eastAsia="仿宋" w:cs="仿宋"/>
          <w:sz w:val="32"/>
          <w:szCs w:val="32"/>
          <w:lang w:eastAsia="zh-CN"/>
        </w:rPr>
        <w:t>，</w:t>
      </w:r>
      <w:r>
        <w:rPr>
          <w:rFonts w:hint="eastAsia" w:ascii="仿宋" w:hAnsi="仿宋" w:eastAsia="仿宋" w:cs="仿宋"/>
          <w:sz w:val="32"/>
          <w:szCs w:val="32"/>
        </w:rPr>
        <w:t>严格依照法定权限、规则、程序行使权力，按照“三重一大”决策制度集体讨论决定重大事项，严格落实重大事项请示报告制度，确保决策制度科学、程序正当、责任明确。强化依法依规办事能力。更加注重风险预防，通过完善内部操作流程、加强法律风险排查，确保各项工作在法治轨道上运行。</w:t>
      </w:r>
    </w:p>
    <w:p w14:paraId="0A0B4C0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三、2025年推进法治政府建设存在的突出问题和原因</w:t>
      </w:r>
    </w:p>
    <w:p w14:paraId="52D786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学用结合不够紧密</w:t>
      </w:r>
    </w:p>
    <w:p w14:paraId="520CBE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部分工作人员在日常学法中，学习内容与自身岗位职责、业务实际的匹配度还有待优化，一定程度上存在“为学而学”现象，运用法治思维解决复杂现实问题的能力仍需提高。</w:t>
      </w:r>
    </w:p>
    <w:p w14:paraId="4E7E00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）学法形式有待创新</w:t>
      </w:r>
    </w:p>
    <w:p w14:paraId="5C550B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目前的学法形式仍较多依赖于集中培训、专题讲座等传统模式，案例教学、情景模拟等实践性强的形式应用不足，对标先进的意识和创新意识仍需加强。</w:t>
      </w:r>
    </w:p>
    <w:p w14:paraId="47D4523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）经验借鉴总结不足</w:t>
      </w:r>
    </w:p>
    <w:p w14:paraId="6C482A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对区内外其他单位在法治宣传、法治实践中的有效做法，学习借鉴不够及时深入，自身工作的创新性和实效性有待提升。</w:t>
      </w:r>
    </w:p>
    <w:p w14:paraId="400A279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四、2025年党政主要负责人履行推进法治建设第一责任人职责情况</w:t>
      </w:r>
    </w:p>
    <w:p w14:paraId="2F4AB94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中心主要负责同志认真落实《党政主要负责人履行推进法治建设第一责任人职责规定》要求，持续履行好职责：</w:t>
      </w:r>
    </w:p>
    <w:p w14:paraId="4F8ECC2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带头抓好法治学习，将习近平法治思想、《优化营商环境条例》等重要法规纳入理论学习中心组计划，全年主持中心组学法2次；带头推进依法行政，将法治建设纳入年度工作要点，定期听取汇报、研究解决问题；带头依法依规决策</w:t>
      </w:r>
      <w:r>
        <w:rPr>
          <w:rFonts w:hint="eastAsia" w:ascii="仿宋" w:hAnsi="仿宋" w:eastAsia="仿宋" w:cs="仿宋"/>
          <w:sz w:val="32"/>
          <w:szCs w:val="32"/>
          <w:lang w:eastAsia="zh-CN"/>
        </w:rPr>
        <w:t>，</w:t>
      </w:r>
      <w:r>
        <w:rPr>
          <w:rFonts w:hint="eastAsia" w:ascii="仿宋" w:hAnsi="仿宋" w:eastAsia="仿宋" w:cs="仿宋"/>
          <w:sz w:val="32"/>
          <w:szCs w:val="32"/>
        </w:rPr>
        <w:t>涉及企业利益的重要事项坚持集体讨论；带头加强队伍建设，将依法履职作为干部选拔任用标准，持续营造尊法学法守法用法的良好氛围。</w:t>
      </w:r>
    </w:p>
    <w:p w14:paraId="3811217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五、2026年推进法治政府建设的主要安排</w:t>
      </w:r>
    </w:p>
    <w:p w14:paraId="0F6796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bCs/>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）强化落实法治政府建设各项要求</w:t>
      </w:r>
    </w:p>
    <w:p w14:paraId="2F29F3D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对照区委法建办工作部署，结合中心实际，科学安排好全年法治政府建设工作，严格落实重大决策、信息公开等制度。</w:t>
      </w:r>
    </w:p>
    <w:p w14:paraId="2B03F7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二）推动法律学习更贴近实践</w:t>
      </w:r>
    </w:p>
    <w:p w14:paraId="6FAA849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调研各岗位法律知识需求，制定2026年度学法清单，确保学有所用。鼓励各科室开展案例研讨，在交流中提升依法办事能力。</w:t>
      </w:r>
    </w:p>
    <w:p w14:paraId="482B4F4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）在服务企业中体现法治成效</w:t>
      </w:r>
    </w:p>
    <w:p w14:paraId="6EF9B0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把法律要求细化到服务企业的每一个环节，完善内部流程，加强风险预防。继续围绕优化营商环境发力，让法治真正起到保驾护航的作用。</w:t>
      </w:r>
    </w:p>
    <w:p w14:paraId="68981A4F">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仿宋" w:hAnsi="仿宋" w:eastAsia="仿宋" w:cs="仿宋"/>
          <w:sz w:val="32"/>
          <w:szCs w:val="32"/>
        </w:rPr>
      </w:pPr>
    </w:p>
    <w:p w14:paraId="0EA98EE1">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区经济发展服务中心</w:t>
      </w:r>
      <w:r>
        <w:rPr>
          <w:rFonts w:hint="eastAsia" w:ascii="仿宋" w:hAnsi="仿宋" w:eastAsia="仿宋" w:cs="仿宋"/>
          <w:sz w:val="32"/>
          <w:szCs w:val="32"/>
          <w:lang w:val="en-US" w:eastAsia="zh-CN"/>
        </w:rPr>
        <w:t xml:space="preserve">  </w:t>
      </w:r>
    </w:p>
    <w:p w14:paraId="780823FE">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2</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r>
        <w:rPr>
          <w:rFonts w:hint="eastAsia" w:ascii="仿宋" w:hAnsi="仿宋" w:eastAsia="仿宋" w:cs="仿宋"/>
          <w:sz w:val="32"/>
          <w:szCs w:val="32"/>
          <w:lang w:val="en-US" w:eastAsia="zh-CN"/>
        </w:rPr>
        <w:t xml:space="preserve">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2472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7BD3E">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07BD3E">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271CC2"/>
    <w:rsid w:val="573B59EE"/>
    <w:rsid w:val="58647D76"/>
    <w:rsid w:val="76B25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2010</Words>
  <Characters>2046</Characters>
  <Lines>0</Lines>
  <Paragraphs>0</Paragraphs>
  <TotalTime>11</TotalTime>
  <ScaleCrop>false</ScaleCrop>
  <LinksUpToDate>false</LinksUpToDate>
  <CharactersWithSpaces>2052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2026-02-28T01:47:00Z</dcterms:created>
  <dc:creator>HP</dc:creator>
  <cp:lastModifiedBy>很久以前</cp:lastModifiedBy>
  <cp:lastPrinted>2026-02-28T05:59:00Z</cp:lastPrinted>
  <dcterms:modified xsi:type="dcterms:W3CDTF">2026-03-20T02:37:37Z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eyJoZGlkIjoiMGE5ZWNkNjMyYmEwYTM3ZThiMTNhODAyMTA0NWUyZGMiLCJ1c2VySWQiOiI0Njg5MTczODAifQ==</vt:lpwstr>
  </property>
  <property fmtid="{D5CDD505-2E9C-101B-9397-08002B2CF9AE}" pid="4" name="ICV">
    <vt:lpwstr>736F655C460D493A909EF87F5B0CFDF2_12</vt:lpwstr>
  </property>
</Properties>
</file>