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316BD">
      <w:pPr>
        <w:spacing w:line="2000" w:lineRule="exact"/>
        <w:jc w:val="center"/>
        <w:rPr>
          <w:rFonts w:hint="eastAsia"/>
        </w:rPr>
      </w:pPr>
      <w:bookmarkStart w:id="94" w:name="_GoBack"/>
      <w:bookmarkEnd w:id="94"/>
      <w:r>
        <w:drawing>
          <wp:inline distT="0" distB="0" distL="114300" distR="114300">
            <wp:extent cx="5273675" cy="932180"/>
            <wp:effectExtent l="0" t="0" r="3175" b="1270"/>
            <wp:docPr id="15" name="图片 1" descr="中共大连市西岗区委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中共大连市西岗区委文件"/>
                    <pic:cNvPicPr>
                      <a:picLocks noChangeAspect="1"/>
                    </pic:cNvPicPr>
                  </pic:nvPicPr>
                  <pic:blipFill>
                    <a:blip r:embed="rId6"/>
                    <a:stretch>
                      <a:fillRect/>
                    </a:stretch>
                  </pic:blipFill>
                  <pic:spPr>
                    <a:xfrm>
                      <a:off x="0" y="0"/>
                      <a:ext cx="5273675" cy="932180"/>
                    </a:xfrm>
                    <a:prstGeom prst="rect">
                      <a:avLst/>
                    </a:prstGeom>
                    <a:noFill/>
                    <a:ln>
                      <a:noFill/>
                    </a:ln>
                  </pic:spPr>
                </pic:pic>
              </a:graphicData>
            </a:graphic>
          </wp:inline>
        </w:drawing>
      </w:r>
    </w:p>
    <w:p w14:paraId="41E4E2A9">
      <w:pPr>
        <w:spacing w:line="560" w:lineRule="exact"/>
        <w:jc w:val="center"/>
        <w:rPr>
          <w:rFonts w:hint="eastAsia" w:ascii="仿宋_GB2312" w:eastAsia="仿宋_GB2312"/>
          <w:sz w:val="36"/>
          <w:szCs w:val="36"/>
        </w:rPr>
      </w:pPr>
      <w:r>
        <w:rPr>
          <w:rFonts w:hint="eastAsia" w:ascii="仿宋_GB2312" w:eastAsia="仿宋_GB2312"/>
          <w:sz w:val="36"/>
          <w:szCs w:val="36"/>
        </w:rPr>
        <w:t>西委发〔2016〕6号</w:t>
      </w:r>
    </w:p>
    <w:p w14:paraId="60EB39CD">
      <w:pPr>
        <w:spacing w:line="520" w:lineRule="exact"/>
        <w:jc w:val="center"/>
        <w:rPr>
          <w:rFonts w:ascii="仿宋_GB2312" w:hAnsi="华文细黑"/>
        </w:rPr>
      </w:pPr>
      <w: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201295</wp:posOffset>
                </wp:positionV>
                <wp:extent cx="2354580" cy="635"/>
                <wp:effectExtent l="0" t="0" r="0" b="0"/>
                <wp:wrapNone/>
                <wp:docPr id="14" name="直线 27"/>
                <wp:cNvGraphicFramePr/>
                <a:graphic xmlns:a="http://schemas.openxmlformats.org/drawingml/2006/main">
                  <a:graphicData uri="http://schemas.microsoft.com/office/word/2010/wordprocessingShape">
                    <wps:wsp>
                      <wps:cNvSpPr/>
                      <wps:spPr>
                        <a:xfrm>
                          <a:off x="0" y="0"/>
                          <a:ext cx="235458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27" o:spid="_x0000_s1026" o:spt="20" style="position:absolute;left:0pt;margin-left:0pt;margin-top:15.85pt;height:0.05pt;width:185.4pt;z-index:251672576;mso-width-relative:page;mso-height-relative:page;" filled="f" stroked="t" coordsize="21600,21600" o:gfxdata="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w9&#10;xxDVAAAABgEAAA8AAAAAAAAAAQAgAAAAIgAAAGRycy9kb3ducmV2LnhtbFBLAQIUABQAAAAIAIdO&#10;4kDyHyt/7QEAAN8DAAAOAAAAAAAAAAEAIAAAACQBAABkcnMvZTJvRG9jLnhtbFBLBQYAAAAABgAG&#10;AFkBAACDBQAAAAA=&#10;">
                <v:fill on="f" focussize="0,0"/>
                <v:stroke color="#FF0000" joinstyle="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3081020</wp:posOffset>
                </wp:positionH>
                <wp:positionV relativeFrom="paragraph">
                  <wp:posOffset>193040</wp:posOffset>
                </wp:positionV>
                <wp:extent cx="2519680" cy="635"/>
                <wp:effectExtent l="0" t="0" r="0" b="0"/>
                <wp:wrapNone/>
                <wp:docPr id="13" name="直线 26"/>
                <wp:cNvGraphicFramePr/>
                <a:graphic xmlns:a="http://schemas.openxmlformats.org/drawingml/2006/main">
                  <a:graphicData uri="http://schemas.microsoft.com/office/word/2010/wordprocessingShape">
                    <wps:wsp>
                      <wps:cNvSpPr/>
                      <wps:spPr>
                        <a:xfrm>
                          <a:off x="0" y="0"/>
                          <a:ext cx="251968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242.6pt;margin-top:15.2pt;height:0.05pt;width:198.4pt;z-index:251671552;mso-width-relative:page;mso-height-relative:page;" filled="f" stroked="t" coordsize="21600,21600" o:gfxdata="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AhzN1wAAAAkBAAAPAAAAAAAAAAEAIAAAACIAAABkcnMvZG93bnJldi54bWxQSwECFAAUAAAACACH&#10;TuJA/2FeFewBAADfAwAADgAAAAAAAAABACAAAAAmAQAAZHJzL2Uyb0RvYy54bWxQSwUGAAAAAAYA&#10;BgBZAQAAhAUAAAAA&#10;">
                <v:fill on="f" focussize="0,0"/>
                <v:stroke color="#FF0000" joinstyle="round"/>
                <v:imagedata o:title=""/>
                <o:lock v:ext="edit" aspectratio="f"/>
              </v:line>
            </w:pict>
          </mc:Fallback>
        </mc:AlternateContent>
      </w:r>
      <w:r>
        <w:t xml:space="preserve">  </w:t>
      </w:r>
      <w:r>
        <w:rPr>
          <w:rFonts w:hint="eastAsia"/>
        </w:rPr>
        <w:t xml:space="preserve">   </w:t>
      </w:r>
      <w:r>
        <w:rPr>
          <w:rFonts w:hint="eastAsia"/>
          <w:color w:val="FF0000"/>
          <w:sz w:val="44"/>
        </w:rPr>
        <w:t>★</w:t>
      </w:r>
      <w:r>
        <w:rPr>
          <w:color w:val="FF0000"/>
          <w:sz w:val="44"/>
        </w:rPr>
        <w:tab/>
      </w:r>
      <w:r>
        <w:rPr>
          <w:color w:val="FF0000"/>
          <w:sz w:val="44"/>
        </w:rPr>
        <w:tab/>
      </w:r>
    </w:p>
    <w:p w14:paraId="34C83771">
      <w:pPr>
        <w:spacing w:line="560" w:lineRule="exact"/>
        <w:rPr>
          <w:rFonts w:hint="eastAsia" w:eastAsia="黑体"/>
          <w:sz w:val="44"/>
          <w:szCs w:val="44"/>
        </w:rPr>
      </w:pPr>
    </w:p>
    <w:p w14:paraId="7C5DE382">
      <w:pPr>
        <w:spacing w:line="560" w:lineRule="exact"/>
        <w:rPr>
          <w:rFonts w:hint="eastAsia" w:eastAsia="黑体"/>
          <w:sz w:val="44"/>
          <w:szCs w:val="44"/>
        </w:rPr>
      </w:pPr>
    </w:p>
    <w:p w14:paraId="2B56BF31">
      <w:pPr>
        <w:spacing w:line="560" w:lineRule="exact"/>
        <w:jc w:val="center"/>
        <w:rPr>
          <w:rFonts w:ascii="方正小标宋简体" w:hAnsi="新宋体" w:eastAsia="方正小标宋简体"/>
          <w:spacing w:val="-6"/>
          <w:sz w:val="44"/>
          <w:szCs w:val="44"/>
        </w:rPr>
      </w:pPr>
      <w:r>
        <w:rPr>
          <w:rFonts w:hint="eastAsia" w:ascii="方正小标宋简体" w:hAnsi="新宋体" w:eastAsia="方正小标宋简体"/>
          <w:spacing w:val="-6"/>
          <w:sz w:val="44"/>
          <w:szCs w:val="44"/>
        </w:rPr>
        <w:t>中共大连市西岗区委</w:t>
      </w:r>
      <w:r>
        <w:rPr>
          <w:rFonts w:ascii="方正小标宋简体" w:hAnsi="新宋体" w:eastAsia="方正小标宋简体"/>
          <w:spacing w:val="-6"/>
          <w:sz w:val="44"/>
          <w:szCs w:val="44"/>
        </w:rPr>
        <w:t xml:space="preserve">  </w:t>
      </w:r>
      <w:r>
        <w:rPr>
          <w:rFonts w:hint="eastAsia" w:ascii="方正小标宋简体" w:hAnsi="新宋体" w:eastAsia="方正小标宋简体"/>
          <w:spacing w:val="-6"/>
          <w:sz w:val="44"/>
          <w:szCs w:val="44"/>
        </w:rPr>
        <w:t xml:space="preserve"> 大连市西岗区人民政府</w:t>
      </w:r>
    </w:p>
    <w:p w14:paraId="190F33A6">
      <w:pPr>
        <w:spacing w:line="560" w:lineRule="exact"/>
        <w:jc w:val="center"/>
        <w:rPr>
          <w:rFonts w:ascii="方正小标宋简体" w:hAnsi="新宋体" w:eastAsia="方正小标宋简体"/>
          <w:spacing w:val="-6"/>
          <w:sz w:val="44"/>
          <w:szCs w:val="44"/>
        </w:rPr>
      </w:pPr>
      <w:r>
        <w:rPr>
          <w:rFonts w:hint="eastAsia" w:ascii="方正小标宋简体" w:hAnsi="新宋体" w:eastAsia="方正小标宋简体"/>
          <w:spacing w:val="-6"/>
          <w:sz w:val="44"/>
          <w:szCs w:val="44"/>
        </w:rPr>
        <w:t>关于印发《大连市西岗区国民经济和社会发展</w:t>
      </w:r>
    </w:p>
    <w:p w14:paraId="537123A5">
      <w:pPr>
        <w:spacing w:line="560" w:lineRule="exact"/>
        <w:jc w:val="center"/>
        <w:rPr>
          <w:rFonts w:ascii="方正小标宋简体" w:hAnsi="新宋体" w:eastAsia="方正小标宋简体"/>
          <w:spacing w:val="-6"/>
          <w:sz w:val="44"/>
          <w:szCs w:val="44"/>
        </w:rPr>
      </w:pPr>
      <w:r>
        <w:rPr>
          <w:rFonts w:hint="eastAsia" w:ascii="方正小标宋简体" w:hAnsi="新宋体" w:eastAsia="方正小标宋简体"/>
          <w:spacing w:val="-6"/>
          <w:sz w:val="44"/>
          <w:szCs w:val="44"/>
        </w:rPr>
        <w:t>第十三个五年规划纲要》的通知</w:t>
      </w:r>
    </w:p>
    <w:p w14:paraId="1CEF4B32">
      <w:pPr>
        <w:spacing w:line="560" w:lineRule="exact"/>
        <w:rPr>
          <w:rFonts w:hint="eastAsia" w:ascii="仿宋_GB2312" w:eastAsia="仿宋_GB2312"/>
          <w:sz w:val="32"/>
          <w:szCs w:val="32"/>
        </w:rPr>
      </w:pPr>
    </w:p>
    <w:p w14:paraId="3F08F844">
      <w:pPr>
        <w:spacing w:line="560" w:lineRule="exact"/>
        <w:rPr>
          <w:rFonts w:hint="eastAsia" w:ascii="楷体_GB2312" w:hAnsi="宋体" w:eastAsia="楷体_GB2312" w:cs="宋体"/>
          <w:bCs/>
          <w:kern w:val="0"/>
          <w:sz w:val="34"/>
          <w:szCs w:val="32"/>
        </w:rPr>
      </w:pPr>
      <w:r>
        <w:rPr>
          <w:rFonts w:hint="eastAsia" w:ascii="楷体_GB2312" w:hAnsi="宋体" w:eastAsia="楷体_GB2312" w:cs="宋体"/>
          <w:bCs/>
          <w:kern w:val="0"/>
          <w:sz w:val="34"/>
          <w:szCs w:val="32"/>
        </w:rPr>
        <w:t>各党（工）委、党组、直属总支，区直各部委办局，各街道办事处，人民团体：</w:t>
      </w:r>
    </w:p>
    <w:p w14:paraId="4FEE78CD">
      <w:pPr>
        <w:spacing w:line="560" w:lineRule="exact"/>
        <w:ind w:firstLine="680" w:firstLineChars="200"/>
        <w:rPr>
          <w:rFonts w:hint="eastAsia" w:ascii="楷体_GB2312" w:hAnsi="宋体" w:eastAsia="楷体_GB2312" w:cs="宋体"/>
          <w:bCs/>
          <w:kern w:val="0"/>
          <w:sz w:val="34"/>
          <w:szCs w:val="32"/>
        </w:rPr>
      </w:pPr>
      <w:r>
        <w:rPr>
          <w:rFonts w:hint="eastAsia" w:ascii="楷体_GB2312" w:hAnsi="宋体" w:eastAsia="楷体_GB2312" w:cs="宋体"/>
          <w:sz w:val="34"/>
          <w:szCs w:val="32"/>
        </w:rPr>
        <w:t>现将《大连市西岗区国民经济和社会发展第十三个五年规划纲要》印发给你们，请结合本单位、本部门工作实际，认真贯彻落实。</w:t>
      </w:r>
    </w:p>
    <w:p w14:paraId="666D1FC1">
      <w:pPr>
        <w:spacing w:line="520" w:lineRule="exact"/>
        <w:ind w:right="563" w:rightChars="268" w:firstLine="1020" w:firstLineChars="300"/>
        <w:jc w:val="distribute"/>
        <w:rPr>
          <w:rFonts w:hint="eastAsia" w:ascii="楷体_GB2312" w:hAnsi="宋体" w:eastAsia="楷体_GB2312" w:cs="宋体"/>
          <w:sz w:val="34"/>
          <w:szCs w:val="32"/>
        </w:rPr>
      </w:pPr>
      <w:r>
        <w:rPr>
          <w:rFonts w:ascii="楷体_GB2312" w:hAnsi="宋体" w:eastAsia="楷体_GB2312" w:cs="宋体"/>
          <w:sz w:val="34"/>
          <w:szCs w:val="32"/>
        </w:rPr>
        <w:t xml:space="preserve">                    </w:t>
      </w:r>
      <w:r>
        <w:rPr>
          <w:rFonts w:hint="eastAsia" w:ascii="楷体_GB2312" w:hAnsi="宋体" w:eastAsia="楷体_GB2312" w:cs="宋体"/>
          <w:sz w:val="34"/>
          <w:szCs w:val="32"/>
        </w:rPr>
        <w:t xml:space="preserve"> </w:t>
      </w:r>
    </w:p>
    <w:p w14:paraId="2F6ECA39">
      <w:pPr>
        <w:tabs>
          <w:tab w:val="left" w:pos="8280"/>
        </w:tabs>
        <w:spacing w:line="520" w:lineRule="exact"/>
        <w:ind w:right="743" w:rightChars="354" w:firstLine="1020" w:firstLineChars="300"/>
        <w:jc w:val="distribute"/>
        <w:rPr>
          <w:rFonts w:ascii="楷体_GB2312" w:hAnsi="宋体" w:eastAsia="楷体_GB2312" w:cs="宋体"/>
          <w:sz w:val="34"/>
          <w:szCs w:val="32"/>
        </w:rPr>
      </w:pPr>
      <w:r>
        <w:rPr>
          <w:rFonts w:hint="eastAsia" w:ascii="楷体_GB2312" w:hAnsi="宋体" w:eastAsia="楷体_GB2312" w:cs="宋体"/>
          <w:sz w:val="34"/>
          <w:szCs w:val="32"/>
        </w:rPr>
        <w:t xml:space="preserve">                      中共大连市西岗区委</w:t>
      </w:r>
    </w:p>
    <w:p w14:paraId="29893D0C">
      <w:pPr>
        <w:spacing w:line="520" w:lineRule="exact"/>
        <w:ind w:right="563" w:rightChars="268" w:firstLine="4760" w:firstLineChars="1400"/>
        <w:rPr>
          <w:rFonts w:ascii="楷体_GB2312" w:hAnsi="宋体" w:eastAsia="楷体_GB2312" w:cs="宋体"/>
          <w:sz w:val="34"/>
          <w:szCs w:val="32"/>
        </w:rPr>
      </w:pPr>
      <w:r>
        <w:rPr>
          <w:rFonts w:hint="eastAsia" w:ascii="楷体_GB2312" w:hAnsi="宋体" w:eastAsia="楷体_GB2312" w:cs="宋体"/>
          <w:sz w:val="34"/>
          <w:szCs w:val="32"/>
        </w:rPr>
        <w:t>大连市西岗区人民政府</w:t>
      </w:r>
    </w:p>
    <w:p w14:paraId="3AFE68E2">
      <w:pPr>
        <w:spacing w:line="520" w:lineRule="exact"/>
        <w:ind w:firstLine="5270" w:firstLineChars="1550"/>
        <w:rPr>
          <w:rFonts w:ascii="楷体_GB2312" w:hAnsi="宋体" w:eastAsia="楷体_GB2312" w:cs="宋体"/>
          <w:sz w:val="34"/>
          <w:szCs w:val="32"/>
        </w:rPr>
      </w:pPr>
      <w:r>
        <w:rPr>
          <w:rFonts w:ascii="楷体_GB2312" w:hAnsi="宋体" w:eastAsia="楷体_GB2312" w:cs="宋体"/>
          <w:sz w:val="34"/>
          <w:szCs w:val="32"/>
        </w:rPr>
        <w:t>2016</w:t>
      </w:r>
      <w:r>
        <w:rPr>
          <w:rFonts w:hint="eastAsia" w:ascii="楷体_GB2312" w:hAnsi="宋体" w:eastAsia="楷体_GB2312" w:cs="宋体"/>
          <w:sz w:val="34"/>
          <w:szCs w:val="32"/>
        </w:rPr>
        <w:t>年6月1日</w:t>
      </w:r>
    </w:p>
    <w:p w14:paraId="72E53867"/>
    <w:p w14:paraId="1B14DF99">
      <w:pPr>
        <w:adjustRightInd w:val="0"/>
        <w:snapToGrid w:val="0"/>
        <w:spacing w:line="600" w:lineRule="exact"/>
        <w:jc w:val="center"/>
        <w:rPr>
          <w:rFonts w:hint="eastAsia" w:ascii="方正小标宋简体" w:eastAsia="方正小标宋简体"/>
          <w:sz w:val="44"/>
          <w:szCs w:val="44"/>
        </w:rPr>
      </w:pPr>
      <w:r>
        <w:rPr>
          <w:rFonts w:ascii="楷体_GB2312" w:eastAsia="楷体_GB2312"/>
          <w:sz w:val="34"/>
          <w:szCs w:val="32"/>
        </w:rPr>
        <w:br w:type="page"/>
      </w:r>
      <w:r>
        <w:rPr>
          <w:rFonts w:hint="eastAsia" w:ascii="方正小标宋简体" w:eastAsia="方正小标宋简体"/>
          <w:sz w:val="44"/>
          <w:szCs w:val="44"/>
        </w:rPr>
        <w:t>大连市西岗区国民经济和社会发展</w:t>
      </w:r>
    </w:p>
    <w:p w14:paraId="4CABF320">
      <w:pPr>
        <w:adjustRightInd w:val="0"/>
        <w:snapToGrid w:val="0"/>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第十三个五年规划纲要</w:t>
      </w:r>
    </w:p>
    <w:p w14:paraId="519D67BF">
      <w:pPr>
        <w:adjustRightInd w:val="0"/>
        <w:spacing w:before="468" w:beforeLines="150" w:after="156" w:afterLines="50" w:line="600" w:lineRule="exact"/>
        <w:jc w:val="center"/>
        <w:outlineLvl w:val="0"/>
        <w:rPr>
          <w:rFonts w:hint="eastAsia" w:ascii="黑体" w:hAnsi="黑体" w:eastAsia="黑体"/>
          <w:sz w:val="34"/>
          <w:szCs w:val="34"/>
        </w:rPr>
      </w:pPr>
      <w:bookmarkStart w:id="0" w:name="_Toc439276675"/>
      <w:r>
        <w:rPr>
          <w:rFonts w:hint="eastAsia" w:ascii="黑体" w:hAnsi="黑体" w:eastAsia="黑体"/>
          <w:sz w:val="34"/>
          <w:szCs w:val="34"/>
        </w:rPr>
        <w:t>第一章  科学发展品质城区建设成果丰硕</w:t>
      </w:r>
      <w:bookmarkEnd w:id="0"/>
    </w:p>
    <w:p w14:paraId="70CDE95E">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十二五”时期，在市委、市政府和区委、区政府的正确领导下，西岗区全面实施“内涵发展、品质提升、创新驱动”发展战略，多措并举，精准施策，积极应对经济下行压力等困难挑战，凝心聚力，敢于担当，主动作为，科学完成了“十二五”规划确定的主要</w:t>
      </w:r>
      <w:r>
        <w:rPr>
          <w:rFonts w:hint="eastAsia" w:ascii="仿宋_GB2312" w:eastAsia="仿宋_GB2312"/>
          <w:snapToGrid w:val="0"/>
          <w:kern w:val="0"/>
          <w:sz w:val="34"/>
          <w:szCs w:val="34"/>
        </w:rPr>
        <w:t>目标和任务，城区经济健康平稳，社会事业全</w:t>
      </w:r>
      <w:r>
        <w:rPr>
          <w:rFonts w:hint="eastAsia" w:ascii="仿宋_GB2312" w:eastAsia="仿宋_GB2312"/>
          <w:sz w:val="34"/>
          <w:szCs w:val="34"/>
        </w:rPr>
        <w:t>面进步，人民生活水平不断提高，科学发展品质城区建设取得积极成果。</w:t>
      </w:r>
    </w:p>
    <w:p w14:paraId="71DB129E">
      <w:pPr>
        <w:adjustRightInd w:val="0"/>
        <w:spacing w:line="600" w:lineRule="exact"/>
        <w:ind w:firstLine="680" w:firstLineChars="200"/>
        <w:outlineLvl w:val="1"/>
        <w:rPr>
          <w:rFonts w:hint="eastAsia" w:ascii="黑体" w:hAnsi="黑体" w:eastAsia="黑体"/>
          <w:kern w:val="0"/>
          <w:sz w:val="34"/>
          <w:szCs w:val="34"/>
        </w:rPr>
      </w:pPr>
      <w:bookmarkStart w:id="1" w:name="_Toc439276676"/>
      <w:bookmarkStart w:id="2" w:name="_Toc434498978"/>
      <w:r>
        <w:rPr>
          <w:rFonts w:hint="eastAsia" w:ascii="黑体" w:hAnsi="黑体" w:eastAsia="黑体"/>
          <w:kern w:val="0"/>
          <w:sz w:val="34"/>
          <w:szCs w:val="34"/>
        </w:rPr>
        <w:t>一、综合实力持续增强</w:t>
      </w:r>
      <w:bookmarkEnd w:id="1"/>
    </w:p>
    <w:bookmarkEnd w:id="2"/>
    <w:p w14:paraId="0D61AC12">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十二五”期间，地区生产总值年均增长6.5%，人均地区生产总值由1.22万美元提高至1.67万美元，一般公共预算收入累计完成87.6亿元，固定资产投资累计完成271亿元。大连（西岗）现代服务业集聚区建设成果显著，服务业增加值达到233亿元，占地区生产总值比重达73%。商务办公面积增至120万平方米，总部类企业达到355户，纳税亿元以上楼宇增至5座。香炉礁、站北、奥林匹克“三大商圈”基本形成，总营业面积超过140万平方米。物流企业新增169家，年均增长15%。R&amp;D经费支出占地区生产总值比重达到3.1%。旅游总收入20.6亿元，年均增长7%。金融业增加值占第三产业增加值比重达到23.6%。经济质量持续向好，综合实力迈上新台阶。</w:t>
      </w:r>
    </w:p>
    <w:p w14:paraId="4B993427">
      <w:pPr>
        <w:adjustRightInd w:val="0"/>
        <w:spacing w:line="600" w:lineRule="exact"/>
        <w:ind w:firstLine="680" w:firstLineChars="200"/>
        <w:outlineLvl w:val="1"/>
        <w:rPr>
          <w:rFonts w:hint="eastAsia" w:ascii="黑体" w:hAnsi="黑体" w:eastAsia="黑体"/>
          <w:kern w:val="0"/>
          <w:sz w:val="34"/>
          <w:szCs w:val="34"/>
        </w:rPr>
      </w:pPr>
      <w:bookmarkStart w:id="3" w:name="_Toc439276677"/>
      <w:r>
        <w:rPr>
          <w:rFonts w:hint="eastAsia" w:ascii="黑体" w:hAnsi="黑体" w:eastAsia="黑体"/>
          <w:kern w:val="0"/>
          <w:sz w:val="34"/>
          <w:szCs w:val="34"/>
        </w:rPr>
        <w:t>二、区域功能优化提升</w:t>
      </w:r>
      <w:bookmarkEnd w:id="3"/>
    </w:p>
    <w:p w14:paraId="559A3EAD">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在“一湾两域五区”功能布局基础上，强化八大重点区域建设，全域服务功能不断提升。黑咀子码头及周边地块改造项目开工建设，“钻石海湾”西岗段的商务功能逐步完善。“两域”策划与开发建设并进，现代服务业发展空间进一步拓展。一二九街国际商务区列入大连市商务总部经济核心区。麦德龙、沃尔玛、宜家、奥特莱斯世界名品购物中心等国际商业业态集聚，香炉礁物流园区进入成熟期。奥林匹克高端商贸区迈进恒隆广场新时代，成为大连市现代商业新标志。大连武术文化博物馆投入使用，南部现代休闲旅游度假区旅游文化内涵进一步丰富。俄罗斯风情街新旧业态转换取得新进展。全面实施新开路楼宇提升计划，启用东北首座PE大厦，区域金融服务能力不断加强。</w:t>
      </w:r>
    </w:p>
    <w:p w14:paraId="3DE61F41">
      <w:pPr>
        <w:adjustRightInd w:val="0"/>
        <w:spacing w:line="600" w:lineRule="exact"/>
        <w:ind w:firstLine="680" w:firstLineChars="200"/>
        <w:outlineLvl w:val="1"/>
        <w:rPr>
          <w:rFonts w:hint="eastAsia" w:ascii="黑体" w:hAnsi="黑体" w:eastAsia="黑体"/>
          <w:kern w:val="0"/>
          <w:sz w:val="34"/>
          <w:szCs w:val="34"/>
        </w:rPr>
      </w:pPr>
      <w:bookmarkStart w:id="4" w:name="_Toc439276678"/>
      <w:r>
        <w:rPr>
          <w:rFonts w:hint="eastAsia" w:ascii="黑体" w:hAnsi="黑体" w:eastAsia="黑体"/>
          <w:kern w:val="0"/>
          <w:sz w:val="34"/>
          <w:szCs w:val="34"/>
        </w:rPr>
        <w:t>三、重点项目高效推进</w:t>
      </w:r>
      <w:bookmarkEnd w:id="4"/>
    </w:p>
    <w:p w14:paraId="1A916883">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强化要素保障，落实项目推进层级负责、街道属地化、区街联动三大工作机制，一批发展前景好、关联度高、牵动作用大的项目投入运营。推进建设重点经济项目48个，其中亿元以上大项目42个，总投资350亿元。完工达效及实施建设项目中，现代服务业项目17个，总投资超过116亿元；旧城区改造项目16个，总改造面积约77万平方米，总建筑面积约228万平方米。重点项目形成联动推进、接续发展的良好态势。完工达效项目投产运营，成为巩固城区经济的重要力量；实施建设项目加快推进，推动城区经济加速发展；前期推进项目梯次摆布，城区经济可持续发展能力进一步增强。</w:t>
      </w:r>
    </w:p>
    <w:p w14:paraId="7267759F">
      <w:pPr>
        <w:adjustRightInd w:val="0"/>
        <w:spacing w:line="600" w:lineRule="exact"/>
        <w:jc w:val="center"/>
        <w:rPr>
          <w:rFonts w:hint="eastAsia" w:ascii="黑体" w:hAnsi="宋体" w:eastAsia="黑体" w:cs="黑体"/>
          <w:kern w:val="0"/>
          <w:sz w:val="28"/>
          <w:szCs w:val="30"/>
        </w:rPr>
      </w:pPr>
    </w:p>
    <w:p w14:paraId="156C4ADB">
      <w:pPr>
        <w:adjustRightInd w:val="0"/>
        <w:spacing w:line="600" w:lineRule="exact"/>
        <w:jc w:val="center"/>
        <w:rPr>
          <w:rFonts w:hint="eastAsia" w:ascii="黑体" w:hAnsi="宋体" w:eastAsia="黑体" w:cs="黑体"/>
          <w:kern w:val="0"/>
          <w:sz w:val="28"/>
          <w:szCs w:val="30"/>
        </w:rPr>
      </w:pPr>
    </w:p>
    <w:p w14:paraId="3FF75784">
      <w:pPr>
        <w:adjustRightInd w:val="0"/>
        <w:spacing w:line="600" w:lineRule="exact"/>
        <w:jc w:val="center"/>
        <w:rPr>
          <w:rFonts w:hint="eastAsia" w:ascii="黑体" w:hAnsi="宋体" w:eastAsia="黑体" w:cs="黑体"/>
          <w:kern w:val="0"/>
          <w:sz w:val="28"/>
          <w:szCs w:val="30"/>
        </w:rPr>
      </w:pPr>
    </w:p>
    <w:p w14:paraId="6580ED41">
      <w:pPr>
        <w:adjustRightInd w:val="0"/>
        <w:spacing w:line="600" w:lineRule="exact"/>
        <w:jc w:val="center"/>
        <w:rPr>
          <w:rFonts w:hint="eastAsia" w:ascii="黑体" w:hAnsi="宋体" w:eastAsia="黑体" w:cs="黑体"/>
          <w:kern w:val="0"/>
          <w:sz w:val="28"/>
          <w:szCs w:val="30"/>
        </w:rPr>
      </w:pPr>
    </w:p>
    <w:p w14:paraId="79FBD003">
      <w:pPr>
        <w:adjustRightInd w:val="0"/>
        <w:spacing w:line="600" w:lineRule="exact"/>
        <w:jc w:val="center"/>
        <w:rPr>
          <w:rFonts w:hint="eastAsia" w:ascii="黑体" w:hAnsi="宋体" w:eastAsia="黑体" w:cs="黑体"/>
          <w:kern w:val="0"/>
          <w:sz w:val="28"/>
          <w:szCs w:val="30"/>
        </w:rPr>
      </w:pPr>
    </w:p>
    <w:p w14:paraId="7B75174B">
      <w:pPr>
        <w:adjustRightInd w:val="0"/>
        <w:spacing w:line="600" w:lineRule="exact"/>
        <w:jc w:val="center"/>
        <w:rPr>
          <w:rFonts w:hint="eastAsia" w:ascii="黑体" w:hAnsi="宋体" w:eastAsia="黑体" w:cs="黑体"/>
          <w:kern w:val="0"/>
          <w:sz w:val="28"/>
          <w:szCs w:val="30"/>
        </w:rPr>
      </w:pPr>
    </w:p>
    <w:p w14:paraId="4489F42B">
      <w:pPr>
        <w:adjustRightInd w:val="0"/>
        <w:spacing w:line="600" w:lineRule="exact"/>
        <w:jc w:val="center"/>
        <w:rPr>
          <w:rFonts w:hint="eastAsia" w:ascii="黑体" w:hAnsi="宋体" w:eastAsia="黑体" w:cs="黑体"/>
          <w:kern w:val="0"/>
          <w:sz w:val="28"/>
          <w:szCs w:val="30"/>
        </w:rPr>
      </w:pPr>
    </w:p>
    <w:p w14:paraId="05C72615">
      <w:pPr>
        <w:adjustRightInd w:val="0"/>
        <w:spacing w:line="600" w:lineRule="exact"/>
        <w:jc w:val="center"/>
        <w:rPr>
          <w:rFonts w:hint="eastAsia" w:ascii="黑体" w:hAnsi="宋体" w:eastAsia="黑体" w:cs="黑体"/>
          <w:kern w:val="0"/>
          <w:sz w:val="28"/>
          <w:szCs w:val="30"/>
        </w:rPr>
      </w:pPr>
    </w:p>
    <w:p w14:paraId="6C01A3FC">
      <w:pPr>
        <w:adjustRightInd w:val="0"/>
        <w:spacing w:line="600" w:lineRule="exact"/>
        <w:jc w:val="center"/>
        <w:rPr>
          <w:rFonts w:hint="eastAsia" w:ascii="黑体" w:hAnsi="宋体" w:eastAsia="黑体" w:cs="黑体"/>
          <w:kern w:val="0"/>
          <w:sz w:val="28"/>
          <w:szCs w:val="30"/>
        </w:rPr>
      </w:pPr>
    </w:p>
    <w:p w14:paraId="400E1464">
      <w:pPr>
        <w:adjustRightInd w:val="0"/>
        <w:spacing w:line="600" w:lineRule="exact"/>
        <w:jc w:val="center"/>
        <w:rPr>
          <w:rFonts w:hint="eastAsia" w:ascii="黑体" w:hAnsi="宋体" w:eastAsia="黑体" w:cs="黑体"/>
          <w:kern w:val="0"/>
          <w:sz w:val="28"/>
          <w:szCs w:val="30"/>
        </w:rPr>
      </w:pPr>
    </w:p>
    <w:p w14:paraId="0423902C">
      <w:pPr>
        <w:adjustRightInd w:val="0"/>
        <w:spacing w:line="600" w:lineRule="exact"/>
        <w:jc w:val="center"/>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8785" cy="3889375"/>
                <wp:effectExtent l="4445" t="4445" r="20320" b="11430"/>
                <wp:docPr id="3" name="文本框 16"/>
                <wp:cNvGraphicFramePr/>
                <a:graphic xmlns:a="http://schemas.openxmlformats.org/drawingml/2006/main">
                  <a:graphicData uri="http://schemas.microsoft.com/office/word/2010/wordprocessingShape">
                    <wps:wsp>
                      <wps:cNvSpPr txBox="1">
                        <a:spLocks noRot="1"/>
                      </wps:cNvSpPr>
                      <wps:spPr>
                        <a:xfrm>
                          <a:off x="0" y="0"/>
                          <a:ext cx="5518785" cy="3889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9A180">
                            <w:pPr>
                              <w:widowControl/>
                              <w:jc w:val="center"/>
                              <w:rPr>
                                <w:rFonts w:ascii="黑体" w:hAnsi="宋体" w:eastAsia="黑体"/>
                                <w:kern w:val="0"/>
                                <w:sz w:val="28"/>
                                <w:szCs w:val="30"/>
                              </w:rPr>
                            </w:pPr>
                            <w:r>
                              <w:rPr>
                                <w:rFonts w:hint="eastAsia" w:ascii="黑体" w:hAnsi="宋体" w:eastAsia="黑体" w:cs="黑体"/>
                                <w:kern w:val="0"/>
                                <w:sz w:val="28"/>
                                <w:szCs w:val="30"/>
                              </w:rPr>
                              <w:t>专栏</w:t>
                            </w:r>
                            <w:r>
                              <w:rPr>
                                <w:rFonts w:ascii="黑体" w:hAnsi="宋体" w:eastAsia="黑体" w:cs="黑体"/>
                                <w:kern w:val="0"/>
                                <w:sz w:val="28"/>
                                <w:szCs w:val="30"/>
                              </w:rPr>
                              <w:t xml:space="preserve">1 </w:t>
                            </w:r>
                            <w:r>
                              <w:rPr>
                                <w:rFonts w:hint="eastAsia" w:ascii="黑体" w:hAnsi="宋体" w:eastAsia="黑体" w:cs="黑体"/>
                                <w:kern w:val="0"/>
                                <w:sz w:val="28"/>
                                <w:szCs w:val="30"/>
                              </w:rPr>
                              <w:t xml:space="preserve"> 重点经济项目建设情况</w:t>
                            </w:r>
                          </w:p>
                          <w:p w14:paraId="61C9F996">
                            <w:pPr>
                              <w:widowControl/>
                              <w:adjustRightInd w:val="0"/>
                              <w:snapToGrid w:val="0"/>
                              <w:spacing w:line="400" w:lineRule="exact"/>
                              <w:ind w:firstLine="422" w:firstLineChars="200"/>
                              <w:jc w:val="left"/>
                              <w:rPr>
                                <w:rFonts w:ascii="宋体" w:hAnsi="宋体"/>
                              </w:rPr>
                            </w:pPr>
                            <w:r>
                              <w:rPr>
                                <w:rFonts w:hint="eastAsia" w:ascii="宋体" w:hAnsi="宋体" w:cs="仿宋_GB2312"/>
                                <w:b/>
                                <w:bCs/>
                              </w:rPr>
                              <w:t>完工达效项目（22项）：</w:t>
                            </w:r>
                            <w:r>
                              <w:rPr>
                                <w:rFonts w:hint="eastAsia" w:ascii="宋体" w:hAnsi="宋体" w:cs="仿宋_GB2312"/>
                                <w:bCs/>
                              </w:rPr>
                              <w:t>大连</w:t>
                            </w:r>
                            <w:r>
                              <w:rPr>
                                <w:rFonts w:hint="eastAsia" w:ascii="宋体" w:hAnsi="宋体" w:cs="仿宋_GB2312"/>
                              </w:rPr>
                              <w:t>恒隆广场、沃尔玛山姆会员店、迈世汽车城、香炉礁物流运输中心、长江杰座、沈铁·铭悦、站北铁路保障房、南娄·海景、悦泰·福里（一、二期）、胜利桥北历史街区改造、大连汽车工程教学实习实训基地、西岗</w:t>
                            </w:r>
                            <w:r>
                              <w:rPr>
                                <w:rFonts w:ascii="宋体" w:hAnsi="宋体" w:cs="仿宋_GB2312"/>
                              </w:rPr>
                              <w:t>PE</w:t>
                            </w:r>
                            <w:r>
                              <w:rPr>
                                <w:rFonts w:hint="eastAsia" w:ascii="宋体" w:hAnsi="宋体" w:cs="仿宋_GB2312"/>
                              </w:rPr>
                              <w:t>万达大厦、亿达天琴山、北京公园、润德广场、天源秀景、南北复兴里旧区改造、大连武术文化博物馆、福街美食广场、华能宾馆改造、西岗电子商务创业园、长江路小学地块改造。</w:t>
                            </w:r>
                          </w:p>
                          <w:p w14:paraId="1A824430">
                            <w:pPr>
                              <w:widowControl/>
                              <w:adjustRightInd w:val="0"/>
                              <w:snapToGrid w:val="0"/>
                              <w:spacing w:line="400" w:lineRule="exact"/>
                              <w:ind w:firstLine="422" w:firstLineChars="200"/>
                              <w:jc w:val="left"/>
                              <w:rPr>
                                <w:rFonts w:ascii="宋体" w:hAnsi="宋体"/>
                              </w:rPr>
                            </w:pPr>
                            <w:r>
                              <w:rPr>
                                <w:rFonts w:hint="eastAsia" w:ascii="宋体" w:hAnsi="宋体" w:cs="仿宋_GB2312"/>
                                <w:b/>
                                <w:bCs/>
                              </w:rPr>
                              <w:t>实施建设项目（10项）：</w:t>
                            </w:r>
                            <w:r>
                              <w:rPr>
                                <w:rFonts w:hint="eastAsia" w:ascii="宋体" w:hAnsi="宋体" w:cs="仿宋_GB2312"/>
                              </w:rPr>
                              <w:t>百年港湾·奥特莱斯、香水湾、润德公馆、圣奥海底世界综合服务楼、中瑞艺术文化交流中心及商业配套、耐酸泵厂周边地块改造、黑咀子码头及周边地块改造、森林动物园表演场、百佳健康产业大厦、悦泰·福里（三期）。</w:t>
                            </w:r>
                          </w:p>
                          <w:p w14:paraId="0B76AE87">
                            <w:pPr>
                              <w:widowControl/>
                              <w:adjustRightInd w:val="0"/>
                              <w:snapToGrid w:val="0"/>
                              <w:spacing w:line="400" w:lineRule="exact"/>
                              <w:ind w:firstLine="422" w:firstLineChars="200"/>
                              <w:jc w:val="left"/>
                              <w:rPr>
                                <w:rFonts w:ascii="宋体" w:hAnsi="宋体"/>
                              </w:rPr>
                            </w:pPr>
                            <w:r>
                              <w:rPr>
                                <w:rFonts w:hint="eastAsia" w:ascii="宋体" w:hAnsi="宋体" w:cs="仿宋_GB2312"/>
                                <w:b/>
                                <w:bCs/>
                              </w:rPr>
                              <w:t>前期推进项目（16项）：</w:t>
                            </w:r>
                            <w:r>
                              <w:rPr>
                                <w:rFonts w:hint="eastAsia" w:ascii="宋体" w:hAnsi="宋体" w:cs="仿宋_GB2312"/>
                              </w:rPr>
                              <w:t>高尔基路</w:t>
                            </w:r>
                            <w:r>
                              <w:rPr>
                                <w:rFonts w:ascii="宋体" w:hAnsi="宋体" w:cs="仿宋_GB2312"/>
                              </w:rPr>
                              <w:t>-</w:t>
                            </w:r>
                            <w:r>
                              <w:rPr>
                                <w:rFonts w:hint="eastAsia" w:ascii="宋体" w:hAnsi="宋体" w:cs="仿宋_GB2312"/>
                              </w:rPr>
                              <w:t>凤鸣街地块改造、大同街地下人行通道、长春路</w:t>
                            </w:r>
                            <w:r>
                              <w:rPr>
                                <w:rFonts w:ascii="宋体" w:hAnsi="宋体" w:cs="仿宋_GB2312"/>
                              </w:rPr>
                              <w:t>243</w:t>
                            </w:r>
                            <w:r>
                              <w:rPr>
                                <w:rFonts w:hint="eastAsia" w:ascii="宋体" w:hAnsi="宋体" w:cs="仿宋_GB2312"/>
                              </w:rPr>
                              <w:t>号地块改造、仲夏村煤气储配站周边地块改造、威华公寓地块改造、大连英和水产制品厂地块改造、原衡器厂地块改造、原市政总公司地块改造、原旧货市场地块改造、一二九街周边地块改造、东关街旧城区改造、香洲二期、铁路西站地块改造、水产研究所周边地块改造、新海航运码头及周边地块改造、广播电视大学南侧地块改造。</w:t>
                            </w:r>
                          </w:p>
                        </w:txbxContent>
                      </wps:txbx>
                      <wps:bodyPr wrap="square" upright="1"/>
                    </wps:wsp>
                  </a:graphicData>
                </a:graphic>
              </wp:inline>
            </w:drawing>
          </mc:Choice>
          <mc:Fallback>
            <w:pict>
              <v:shape id="文本框 16" o:spid="_x0000_s1026" o:spt="202" type="#_x0000_t202" style="height:306.25pt;width:434.55pt;" fillcolor="#FFFFFF" filled="t" stroked="t" coordsize="21600,21600" o:gfxdata="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n5&#10;ik3WAAAABQEAAA8AAAAAAAAAAQAgAAAAIgAAAGRycy9kb3ducmV2LnhtbFBLAQIUABQAAAAIAIdO&#10;4kC6ert7JQIAAGkEAAAOAAAAAAAAAAEAIAAAACUBAABkcnMvZTJvRG9jLnhtbFBLBQYAAAAABgAG&#10;AFkBAAC8BQAAAAA=&#10;">
                <v:fill on="t" focussize="0,0"/>
                <v:stroke color="#000000" joinstyle="miter"/>
                <v:imagedata o:title=""/>
                <o:lock v:ext="edit" rotation="t" aspectratio="f"/>
                <v:textbox>
                  <w:txbxContent>
                    <w:p w14:paraId="44C9A180">
                      <w:pPr>
                        <w:widowControl/>
                        <w:jc w:val="center"/>
                        <w:rPr>
                          <w:rFonts w:ascii="黑体" w:hAnsi="宋体" w:eastAsia="黑体"/>
                          <w:kern w:val="0"/>
                          <w:sz w:val="28"/>
                          <w:szCs w:val="30"/>
                        </w:rPr>
                      </w:pPr>
                      <w:r>
                        <w:rPr>
                          <w:rFonts w:hint="eastAsia" w:ascii="黑体" w:hAnsi="宋体" w:eastAsia="黑体" w:cs="黑体"/>
                          <w:kern w:val="0"/>
                          <w:sz w:val="28"/>
                          <w:szCs w:val="30"/>
                        </w:rPr>
                        <w:t>专栏</w:t>
                      </w:r>
                      <w:r>
                        <w:rPr>
                          <w:rFonts w:ascii="黑体" w:hAnsi="宋体" w:eastAsia="黑体" w:cs="黑体"/>
                          <w:kern w:val="0"/>
                          <w:sz w:val="28"/>
                          <w:szCs w:val="30"/>
                        </w:rPr>
                        <w:t xml:space="preserve">1 </w:t>
                      </w:r>
                      <w:r>
                        <w:rPr>
                          <w:rFonts w:hint="eastAsia" w:ascii="黑体" w:hAnsi="宋体" w:eastAsia="黑体" w:cs="黑体"/>
                          <w:kern w:val="0"/>
                          <w:sz w:val="28"/>
                          <w:szCs w:val="30"/>
                        </w:rPr>
                        <w:t xml:space="preserve"> 重点经济项目建设情况</w:t>
                      </w:r>
                    </w:p>
                    <w:p w14:paraId="61C9F996">
                      <w:pPr>
                        <w:widowControl/>
                        <w:adjustRightInd w:val="0"/>
                        <w:snapToGrid w:val="0"/>
                        <w:spacing w:line="400" w:lineRule="exact"/>
                        <w:ind w:firstLine="422" w:firstLineChars="200"/>
                        <w:jc w:val="left"/>
                        <w:rPr>
                          <w:rFonts w:ascii="宋体" w:hAnsi="宋体"/>
                        </w:rPr>
                      </w:pPr>
                      <w:r>
                        <w:rPr>
                          <w:rFonts w:hint="eastAsia" w:ascii="宋体" w:hAnsi="宋体" w:cs="仿宋_GB2312"/>
                          <w:b/>
                          <w:bCs/>
                        </w:rPr>
                        <w:t>完工达效项目（22项）：</w:t>
                      </w:r>
                      <w:r>
                        <w:rPr>
                          <w:rFonts w:hint="eastAsia" w:ascii="宋体" w:hAnsi="宋体" w:cs="仿宋_GB2312"/>
                          <w:bCs/>
                        </w:rPr>
                        <w:t>大连</w:t>
                      </w:r>
                      <w:r>
                        <w:rPr>
                          <w:rFonts w:hint="eastAsia" w:ascii="宋体" w:hAnsi="宋体" w:cs="仿宋_GB2312"/>
                        </w:rPr>
                        <w:t>恒隆广场、沃尔玛山姆会员店、迈世汽车城、香炉礁物流运输中心、长江杰座、沈铁·铭悦、站北铁路保障房、南娄·海景、悦泰·福里（一、二期）、胜利桥北历史街区改造、大连汽车工程教学实习实训基地、西岗</w:t>
                      </w:r>
                      <w:r>
                        <w:rPr>
                          <w:rFonts w:ascii="宋体" w:hAnsi="宋体" w:cs="仿宋_GB2312"/>
                        </w:rPr>
                        <w:t>PE</w:t>
                      </w:r>
                      <w:r>
                        <w:rPr>
                          <w:rFonts w:hint="eastAsia" w:ascii="宋体" w:hAnsi="宋体" w:cs="仿宋_GB2312"/>
                        </w:rPr>
                        <w:t>万达大厦、亿达天琴山、北京公园、润德广场、天源秀景、南北复兴里旧区改造、大连武术文化博物馆、福街美食广场、华能宾馆改造、西岗电子商务创业园、长江路小学地块改造。</w:t>
                      </w:r>
                    </w:p>
                    <w:p w14:paraId="1A824430">
                      <w:pPr>
                        <w:widowControl/>
                        <w:adjustRightInd w:val="0"/>
                        <w:snapToGrid w:val="0"/>
                        <w:spacing w:line="400" w:lineRule="exact"/>
                        <w:ind w:firstLine="422" w:firstLineChars="200"/>
                        <w:jc w:val="left"/>
                        <w:rPr>
                          <w:rFonts w:ascii="宋体" w:hAnsi="宋体"/>
                        </w:rPr>
                      </w:pPr>
                      <w:r>
                        <w:rPr>
                          <w:rFonts w:hint="eastAsia" w:ascii="宋体" w:hAnsi="宋体" w:cs="仿宋_GB2312"/>
                          <w:b/>
                          <w:bCs/>
                        </w:rPr>
                        <w:t>实施建设项目（10项）：</w:t>
                      </w:r>
                      <w:r>
                        <w:rPr>
                          <w:rFonts w:hint="eastAsia" w:ascii="宋体" w:hAnsi="宋体" w:cs="仿宋_GB2312"/>
                        </w:rPr>
                        <w:t>百年港湾·奥特莱斯、香水湾、润德公馆、圣奥海底世界综合服务楼、中瑞艺术文化交流中心及商业配套、耐酸泵厂周边地块改造、黑咀子码头及周边地块改造、森林动物园表演场、百佳健康产业大厦、悦泰·福里（三期）。</w:t>
                      </w:r>
                    </w:p>
                    <w:p w14:paraId="0B76AE87">
                      <w:pPr>
                        <w:widowControl/>
                        <w:adjustRightInd w:val="0"/>
                        <w:snapToGrid w:val="0"/>
                        <w:spacing w:line="400" w:lineRule="exact"/>
                        <w:ind w:firstLine="422" w:firstLineChars="200"/>
                        <w:jc w:val="left"/>
                        <w:rPr>
                          <w:rFonts w:ascii="宋体" w:hAnsi="宋体"/>
                        </w:rPr>
                      </w:pPr>
                      <w:r>
                        <w:rPr>
                          <w:rFonts w:hint="eastAsia" w:ascii="宋体" w:hAnsi="宋体" w:cs="仿宋_GB2312"/>
                          <w:b/>
                          <w:bCs/>
                        </w:rPr>
                        <w:t>前期推进项目（16项）：</w:t>
                      </w:r>
                      <w:r>
                        <w:rPr>
                          <w:rFonts w:hint="eastAsia" w:ascii="宋体" w:hAnsi="宋体" w:cs="仿宋_GB2312"/>
                        </w:rPr>
                        <w:t>高尔基路</w:t>
                      </w:r>
                      <w:r>
                        <w:rPr>
                          <w:rFonts w:ascii="宋体" w:hAnsi="宋体" w:cs="仿宋_GB2312"/>
                        </w:rPr>
                        <w:t>-</w:t>
                      </w:r>
                      <w:r>
                        <w:rPr>
                          <w:rFonts w:hint="eastAsia" w:ascii="宋体" w:hAnsi="宋体" w:cs="仿宋_GB2312"/>
                        </w:rPr>
                        <w:t>凤鸣街地块改造、大同街地下人行通道、长春路</w:t>
                      </w:r>
                      <w:r>
                        <w:rPr>
                          <w:rFonts w:ascii="宋体" w:hAnsi="宋体" w:cs="仿宋_GB2312"/>
                        </w:rPr>
                        <w:t>243</w:t>
                      </w:r>
                      <w:r>
                        <w:rPr>
                          <w:rFonts w:hint="eastAsia" w:ascii="宋体" w:hAnsi="宋体" w:cs="仿宋_GB2312"/>
                        </w:rPr>
                        <w:t>号地块改造、仲夏村煤气储配站周边地块改造、威华公寓地块改造、大连英和水产制品厂地块改造、原衡器厂地块改造、原市政总公司地块改造、原旧货市场地块改造、一二九街周边地块改造、东关街旧城区改造、香洲二期、铁路西站地块改造、水产研究所周边地块改造、新海航运码头及周边地块改造、广播电视大学南侧地块改造。</w:t>
                      </w:r>
                    </w:p>
                  </w:txbxContent>
                </v:textbox>
                <w10:wrap type="none"/>
                <w10:anchorlock/>
              </v:shape>
            </w:pict>
          </mc:Fallback>
        </mc:AlternateContent>
      </w:r>
      <w:bookmarkStart w:id="5" w:name="_Toc439276679"/>
    </w:p>
    <w:p w14:paraId="5A981659">
      <w:pPr>
        <w:adjustRightInd w:val="0"/>
        <w:spacing w:line="600" w:lineRule="exact"/>
        <w:ind w:firstLine="680" w:firstLineChars="200"/>
        <w:outlineLvl w:val="1"/>
        <w:rPr>
          <w:rFonts w:hint="eastAsia" w:ascii="黑体" w:hAnsi="黑体" w:eastAsia="黑体"/>
          <w:kern w:val="0"/>
          <w:sz w:val="34"/>
          <w:szCs w:val="34"/>
        </w:rPr>
      </w:pPr>
      <w:r>
        <w:rPr>
          <w:rFonts w:hint="eastAsia" w:ascii="黑体" w:hAnsi="黑体" w:eastAsia="黑体"/>
          <w:kern w:val="0"/>
          <w:sz w:val="34"/>
          <w:szCs w:val="34"/>
        </w:rPr>
        <w:t>四、社会治理突破创新</w:t>
      </w:r>
      <w:bookmarkEnd w:id="5"/>
    </w:p>
    <w:p w14:paraId="7D483621">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以“做群众需要的事，做事让群众满意”为核心理念，创建365工作体系，为社会和群众提供全天候、全方位、全覆盖服务。累计接待市民53.5万人次，受理群众诉求28.1万件。在全区7个街道45个社区建立365分支机构，实现区、街、社区、网格三级管理和四级联动，建立涵盖大连市44个职能部门、72个基层站所的联席处理体系，形成多元参与、协同共治的社会治理新格局，搭建起党和政府联系群众、推进基层民主建设的新平台。成立365外来人员综合服务中心，一站式解决外来人员全需求。建成365社会组织服务园，专业化扶持和发展社会组织。推动社区服务模式家庭化，建成黄河、北岗、拥警、香川“365社区家园”。国家、省、市领导多次对365工作体系给予充分肯定并做出重要批示。</w:t>
      </w:r>
    </w:p>
    <w:p w14:paraId="004ECBA6">
      <w:pPr>
        <w:adjustRightInd w:val="0"/>
        <w:spacing w:line="600" w:lineRule="exact"/>
        <w:ind w:firstLine="680" w:firstLineChars="200"/>
        <w:outlineLvl w:val="1"/>
        <w:rPr>
          <w:rFonts w:hint="eastAsia" w:ascii="黑体" w:hAnsi="黑体" w:eastAsia="黑体"/>
          <w:kern w:val="0"/>
          <w:sz w:val="34"/>
          <w:szCs w:val="34"/>
        </w:rPr>
      </w:pPr>
      <w:bookmarkStart w:id="6" w:name="_Toc434498983"/>
      <w:bookmarkStart w:id="7" w:name="_Toc439276680"/>
      <w:r>
        <w:rPr>
          <w:rFonts w:hint="eastAsia" w:ascii="黑体" w:hAnsi="黑体" w:eastAsia="黑体"/>
          <w:kern w:val="0"/>
          <w:sz w:val="34"/>
          <w:szCs w:val="34"/>
        </w:rPr>
        <w:t>五、智慧</w:t>
      </w:r>
      <w:bookmarkEnd w:id="6"/>
      <w:r>
        <w:rPr>
          <w:rFonts w:hint="eastAsia" w:ascii="黑体" w:hAnsi="黑体" w:eastAsia="黑体"/>
          <w:kern w:val="0"/>
          <w:sz w:val="34"/>
          <w:szCs w:val="34"/>
        </w:rPr>
        <w:t>西岗能效显著</w:t>
      </w:r>
      <w:bookmarkEnd w:id="7"/>
    </w:p>
    <w:p w14:paraId="1DB5C933">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累计投入达3000余万元，完成智慧西岗12311工程。创新与运营商合作共建模式，建成云计算中心。实施“宽带西岗”和“无线西岗”项目，为10万户家庭开通光纤网络，建成近万个AP热点，实现重点区域光纤和无线网络全覆盖。打造地理信息数据库及地理信息公共平台，在全市率先实现区级地理信息平台与市级平台互联互通。完成人口、法人单位数据库和数据共享交换平台建设，为全区数据资源的汇聚整合和共享交换奠定基础。智慧教育、智慧医疗和智慧养老等11项重点领域工作取得实效，城区智慧化水平进一步提升。</w:t>
      </w:r>
    </w:p>
    <w:p w14:paraId="0B2976F7">
      <w:pPr>
        <w:adjustRightInd w:val="0"/>
        <w:spacing w:line="600" w:lineRule="exact"/>
        <w:ind w:firstLine="680" w:firstLineChars="200"/>
        <w:outlineLvl w:val="1"/>
        <w:rPr>
          <w:rFonts w:hint="eastAsia" w:ascii="黑体" w:hAnsi="黑体" w:eastAsia="黑体"/>
          <w:kern w:val="0"/>
          <w:sz w:val="34"/>
          <w:szCs w:val="34"/>
        </w:rPr>
      </w:pPr>
      <w:bookmarkStart w:id="8" w:name="_Toc439276681"/>
      <w:r>
        <w:rPr>
          <w:rFonts w:hint="eastAsia" w:ascii="黑体" w:hAnsi="黑体" w:eastAsia="黑体"/>
          <w:kern w:val="0"/>
          <w:sz w:val="34"/>
          <w:szCs w:val="34"/>
        </w:rPr>
        <w:t>六</w:t>
      </w:r>
      <w:bookmarkStart w:id="9" w:name="_Toc434498984"/>
      <w:r>
        <w:rPr>
          <w:rFonts w:hint="eastAsia" w:ascii="黑体" w:hAnsi="黑体" w:eastAsia="黑体"/>
          <w:kern w:val="0"/>
          <w:sz w:val="34"/>
          <w:szCs w:val="34"/>
        </w:rPr>
        <w:t>、重点改革不断深入</w:t>
      </w:r>
      <w:bookmarkEnd w:id="8"/>
    </w:p>
    <w:p w14:paraId="6313A09E">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政府职能加快转变。理顺市场监管机制，合并工商、质监、食品药品监管局，组建市场监督管理局。理顺卫生和计划生育管理机制，组建卫生计生局。完成城市管理执法体制调整。整合全区公共服务资源，融合365工作体系功能，组建区365公共行政服务中心。完成12345政府服务热线整合和投资项目在线审批监管平台搭建。实施权力清单制度，承接国务院和省政府、市政府下放权力400余项。深化商事制度改革，“三证合一、一照一码”登记制度顺利实施，前置审批事项压缩至34项，有力激发了市场主体投资创业积极性，五年来新增企业4365家。财政体制改革持续深化，政府非税收入管理制度更加健全。</w:t>
      </w:r>
    </w:p>
    <w:p w14:paraId="0428FE24">
      <w:pPr>
        <w:adjustRightInd w:val="0"/>
        <w:spacing w:line="600" w:lineRule="exact"/>
        <w:ind w:firstLine="680" w:firstLineChars="200"/>
        <w:outlineLvl w:val="1"/>
        <w:rPr>
          <w:rFonts w:hint="eastAsia" w:ascii="黑体" w:hAnsi="黑体" w:eastAsia="黑体"/>
          <w:kern w:val="0"/>
          <w:sz w:val="34"/>
          <w:szCs w:val="34"/>
        </w:rPr>
      </w:pPr>
      <w:bookmarkStart w:id="10" w:name="_Toc439276682"/>
      <w:r>
        <w:rPr>
          <w:rFonts w:hint="eastAsia" w:ascii="黑体" w:hAnsi="黑体" w:eastAsia="黑体"/>
          <w:kern w:val="0"/>
          <w:sz w:val="34"/>
          <w:szCs w:val="34"/>
        </w:rPr>
        <w:t>七、社会事业全面发展</w:t>
      </w:r>
      <w:bookmarkEnd w:id="9"/>
      <w:bookmarkEnd w:id="10"/>
    </w:p>
    <w:p w14:paraId="5702F10F">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五年来，安排为民办实事项目57个，民生事业方面累计投入达56亿元。建成全省首个基础教育强区，率先通过国家义务教育基本均衡区验收。就业体系更加完善，“零就业”家庭动态为零，社区与街道就业公共服务功能实现同等化，创建大学生见习基地55家，建成全省首个实景实训的家庭服务业技能培训中心，被授予辽宁省首批发展家庭服务业促进就业联席会议办公室工作联系点。社会救助服务领域不断拓展，最低生活保障面达1.29%。构建“500米惠老服务圈”，建成24所社区养老服务中心。打造“700米医疗服务圈”，省内首创国家级健康管理实验基地，计划生育全程优质服务纵深推进。完成食品安全基本标准达标建设。“500米文化圈”建设持续深化，实施“双百双千双万”文化惠民工程，建成市民大舞台等一批文化活动基地，形成定期举办“西岗杯”全国新人新作推选活动和市民文化节等品牌活动机制，通过国家公共文化服务体系示范区验收。建设“道德讲堂”33个，张贞慧、袁继斌、李晶3人获评“中国好人”。推广全民阅读，建立365市民大讲堂，形成崇学尚学的浓厚氛围。体育人口比例进一步提高。成功举办“十二运”现代五项和“西岗区杯”现代五项锦标赛两项国家级体育赛事。成立全国首家军嫂协会。获评全国国防后备力量建设新闻人物。工会、共青团、妇联、残疾人、科普事业稳步发展。</w:t>
      </w:r>
    </w:p>
    <w:p w14:paraId="0F19E168">
      <w:pPr>
        <w:adjustRightInd w:val="0"/>
        <w:spacing w:line="600" w:lineRule="exact"/>
        <w:jc w:val="center"/>
        <w:rPr>
          <w:rFonts w:hint="eastAsia" w:ascii="黑体" w:eastAsia="黑体" w:cs="黑体"/>
          <w:sz w:val="28"/>
          <w:szCs w:val="30"/>
        </w:rPr>
      </w:pPr>
    </w:p>
    <w:p w14:paraId="6D29FA6A">
      <w:pPr>
        <w:adjustRightInd w:val="0"/>
        <w:spacing w:line="600" w:lineRule="exact"/>
        <w:jc w:val="center"/>
        <w:rPr>
          <w:rFonts w:hint="eastAsia" w:ascii="黑体" w:eastAsia="黑体" w:cs="黑体"/>
          <w:sz w:val="28"/>
          <w:szCs w:val="30"/>
        </w:rPr>
      </w:pPr>
    </w:p>
    <w:p w14:paraId="27049DDA">
      <w:pPr>
        <w:adjustRightInd w:val="0"/>
        <w:spacing w:line="600" w:lineRule="exact"/>
        <w:jc w:val="center"/>
        <w:rPr>
          <w:rFonts w:hint="eastAsia" w:ascii="黑体" w:eastAsia="黑体" w:cs="黑体"/>
          <w:sz w:val="28"/>
          <w:szCs w:val="30"/>
        </w:rPr>
      </w:pPr>
    </w:p>
    <w:p w14:paraId="6258CE68">
      <w:pPr>
        <w:adjustRightInd w:val="0"/>
        <w:spacing w:line="600" w:lineRule="exact"/>
        <w:jc w:val="center"/>
        <w:rPr>
          <w:rFonts w:hint="eastAsia" w:ascii="黑体" w:eastAsia="黑体" w:cs="黑体"/>
          <w:sz w:val="28"/>
          <w:szCs w:val="30"/>
        </w:rPr>
      </w:pPr>
    </w:p>
    <w:p w14:paraId="7921311C">
      <w:pPr>
        <w:adjustRightInd w:val="0"/>
        <w:spacing w:line="600" w:lineRule="exact"/>
        <w:jc w:val="center"/>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9420" cy="1830070"/>
                <wp:effectExtent l="4445" t="5080" r="19685" b="12700"/>
                <wp:docPr id="6" name="文本框 8"/>
                <wp:cNvGraphicFramePr/>
                <a:graphic xmlns:a="http://schemas.openxmlformats.org/drawingml/2006/main">
                  <a:graphicData uri="http://schemas.microsoft.com/office/word/2010/wordprocessingShape">
                    <wps:wsp>
                      <wps:cNvSpPr txBox="1">
                        <a:spLocks noRot="1"/>
                      </wps:cNvSpPr>
                      <wps:spPr>
                        <a:xfrm>
                          <a:off x="0" y="0"/>
                          <a:ext cx="5519420" cy="1830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0F411">
                            <w:pPr>
                              <w:adjustRightInd w:val="0"/>
                              <w:jc w:val="center"/>
                              <w:rPr>
                                <w:rFonts w:ascii="黑体" w:eastAsia="黑体"/>
                                <w:sz w:val="28"/>
                                <w:szCs w:val="30"/>
                              </w:rPr>
                            </w:pPr>
                            <w:r>
                              <w:rPr>
                                <w:rFonts w:hint="eastAsia" w:ascii="黑体" w:eastAsia="黑体" w:cs="黑体"/>
                                <w:sz w:val="28"/>
                                <w:szCs w:val="30"/>
                              </w:rPr>
                              <w:t>专栏</w:t>
                            </w:r>
                            <w:r>
                              <w:rPr>
                                <w:rFonts w:ascii="黑体" w:eastAsia="黑体" w:cs="黑体"/>
                                <w:sz w:val="28"/>
                                <w:szCs w:val="30"/>
                              </w:rPr>
                              <w:t xml:space="preserve">2  </w:t>
                            </w:r>
                            <w:r>
                              <w:rPr>
                                <w:rFonts w:hint="eastAsia" w:ascii="黑体" w:eastAsia="黑体" w:cs="黑体"/>
                                <w:sz w:val="28"/>
                                <w:szCs w:val="30"/>
                              </w:rPr>
                              <w:t>十大民生项目完成情况</w:t>
                            </w:r>
                          </w:p>
                          <w:p w14:paraId="06F54E4C">
                            <w:pPr>
                              <w:adjustRightInd w:val="0"/>
                              <w:snapToGrid w:val="0"/>
                              <w:spacing w:line="400" w:lineRule="exact"/>
                              <w:ind w:firstLine="420" w:firstLineChars="200"/>
                              <w:rPr>
                                <w:rFonts w:ascii="宋体" w:hAnsi="宋体"/>
                              </w:rPr>
                            </w:pPr>
                            <w:r>
                              <w:rPr>
                                <w:rFonts w:ascii="宋体" w:hAnsi="宋体"/>
                              </w:rPr>
                              <w:t>大连市实验幼儿园、西岗区老年人综合服务中心、西岗体育馆（原西岗区市民健身中心）、全区社区卫生服务中心升级工程、西岗区劳动保障维权中心（原西岗区人力资源市场）、西岗区残疾人医疗康复中心</w:t>
                            </w:r>
                            <w:r>
                              <w:rPr>
                                <w:rFonts w:hint="eastAsia" w:ascii="宋体" w:hAnsi="宋体"/>
                              </w:rPr>
                              <w:t>（原西岗区残疾人托养中心）</w:t>
                            </w:r>
                            <w:r>
                              <w:rPr>
                                <w:rFonts w:ascii="宋体" w:hAnsi="宋体"/>
                              </w:rPr>
                              <w:t>、大连</w:t>
                            </w:r>
                            <w:r>
                              <w:rPr>
                                <w:rFonts w:hint="eastAsia" w:ascii="宋体" w:hAnsi="宋体"/>
                              </w:rPr>
                              <w:t>市</w:t>
                            </w:r>
                            <w:r>
                              <w:rPr>
                                <w:rFonts w:ascii="宋体" w:hAnsi="宋体"/>
                              </w:rPr>
                              <w:t>第五中学、365市民大楼服务中心（原西岗区市民服务中心）、站北立体停车场、智慧西岗12311工程（“十二五”中期评估后新增）均已完成。西岗区档案馆项目正在进行选址。</w:t>
                            </w:r>
                          </w:p>
                        </w:txbxContent>
                      </wps:txbx>
                      <wps:bodyPr wrap="square" upright="1"/>
                    </wps:wsp>
                  </a:graphicData>
                </a:graphic>
              </wp:inline>
            </w:drawing>
          </mc:Choice>
          <mc:Fallback>
            <w:pict>
              <v:shape id="文本框 8" o:spid="_x0000_s1026" o:spt="202" type="#_x0000_t202" style="height:144.1pt;width:434.6pt;" fillcolor="#FFFFFF" filled="t" stroked="t" coordsize="21600,21600" o:gfxdata="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8z2&#10;tNYAAAAFAQAADwAAAAAAAAABACAAAAAiAAAAZHJzL2Rvd25yZXYueG1sUEsBAhQAFAAAAAgAh07i&#10;QK7cahAkAgAAaAQAAA4AAAAAAAAAAQAgAAAAJQEAAGRycy9lMm9Eb2MueG1sUEsFBgAAAAAGAAYA&#10;WQEAALsFAAAAAA==&#10;">
                <v:fill on="t" focussize="0,0"/>
                <v:stroke color="#000000" joinstyle="miter"/>
                <v:imagedata o:title=""/>
                <o:lock v:ext="edit" rotation="t" aspectratio="f"/>
                <v:textbox>
                  <w:txbxContent>
                    <w:p w14:paraId="08D0F411">
                      <w:pPr>
                        <w:adjustRightInd w:val="0"/>
                        <w:jc w:val="center"/>
                        <w:rPr>
                          <w:rFonts w:ascii="黑体" w:eastAsia="黑体"/>
                          <w:sz w:val="28"/>
                          <w:szCs w:val="30"/>
                        </w:rPr>
                      </w:pPr>
                      <w:r>
                        <w:rPr>
                          <w:rFonts w:hint="eastAsia" w:ascii="黑体" w:eastAsia="黑体" w:cs="黑体"/>
                          <w:sz w:val="28"/>
                          <w:szCs w:val="30"/>
                        </w:rPr>
                        <w:t>专栏</w:t>
                      </w:r>
                      <w:r>
                        <w:rPr>
                          <w:rFonts w:ascii="黑体" w:eastAsia="黑体" w:cs="黑体"/>
                          <w:sz w:val="28"/>
                          <w:szCs w:val="30"/>
                        </w:rPr>
                        <w:t xml:space="preserve">2  </w:t>
                      </w:r>
                      <w:r>
                        <w:rPr>
                          <w:rFonts w:hint="eastAsia" w:ascii="黑体" w:eastAsia="黑体" w:cs="黑体"/>
                          <w:sz w:val="28"/>
                          <w:szCs w:val="30"/>
                        </w:rPr>
                        <w:t>十大民生项目完成情况</w:t>
                      </w:r>
                    </w:p>
                    <w:p w14:paraId="06F54E4C">
                      <w:pPr>
                        <w:adjustRightInd w:val="0"/>
                        <w:snapToGrid w:val="0"/>
                        <w:spacing w:line="400" w:lineRule="exact"/>
                        <w:ind w:firstLine="420" w:firstLineChars="200"/>
                        <w:rPr>
                          <w:rFonts w:ascii="宋体" w:hAnsi="宋体"/>
                        </w:rPr>
                      </w:pPr>
                      <w:r>
                        <w:rPr>
                          <w:rFonts w:ascii="宋体" w:hAnsi="宋体"/>
                        </w:rPr>
                        <w:t>大连市实验幼儿园、西岗区老年人综合服务中心、西岗体育馆（原西岗区市民健身中心）、全区社区卫生服务中心升级工程、西岗区劳动保障维权中心（原西岗区人力资源市场）、西岗区残疾人医疗康复中心</w:t>
                      </w:r>
                      <w:r>
                        <w:rPr>
                          <w:rFonts w:hint="eastAsia" w:ascii="宋体" w:hAnsi="宋体"/>
                        </w:rPr>
                        <w:t>（原西岗区残疾人托养中心）</w:t>
                      </w:r>
                      <w:r>
                        <w:rPr>
                          <w:rFonts w:ascii="宋体" w:hAnsi="宋体"/>
                        </w:rPr>
                        <w:t>、大连</w:t>
                      </w:r>
                      <w:r>
                        <w:rPr>
                          <w:rFonts w:hint="eastAsia" w:ascii="宋体" w:hAnsi="宋体"/>
                        </w:rPr>
                        <w:t>市</w:t>
                      </w:r>
                      <w:r>
                        <w:rPr>
                          <w:rFonts w:ascii="宋体" w:hAnsi="宋体"/>
                        </w:rPr>
                        <w:t>第五中学、365市民大楼服务中心（原西岗区市民服务中心）、站北立体停车场、智慧西岗12311工程（“十二五”中期评估后新增）均已完成。西岗区档案馆项目正在进行选址。</w:t>
                      </w:r>
                    </w:p>
                  </w:txbxContent>
                </v:textbox>
                <w10:wrap type="none"/>
                <w10:anchorlock/>
              </v:shape>
            </w:pict>
          </mc:Fallback>
        </mc:AlternateContent>
      </w:r>
    </w:p>
    <w:p w14:paraId="06E25183">
      <w:pPr>
        <w:adjustRightInd w:val="0"/>
        <w:spacing w:line="600" w:lineRule="exact"/>
        <w:ind w:firstLine="680" w:firstLineChars="200"/>
        <w:outlineLvl w:val="1"/>
        <w:rPr>
          <w:rFonts w:hint="eastAsia" w:ascii="黑体" w:hAnsi="黑体" w:eastAsia="黑体"/>
          <w:kern w:val="0"/>
          <w:sz w:val="34"/>
          <w:szCs w:val="34"/>
        </w:rPr>
      </w:pPr>
      <w:bookmarkStart w:id="11" w:name="_Toc434498986"/>
      <w:bookmarkStart w:id="12" w:name="_Toc439276683"/>
      <w:bookmarkStart w:id="13" w:name="_Toc434498985"/>
      <w:r>
        <w:rPr>
          <w:rFonts w:hint="eastAsia" w:ascii="黑体" w:hAnsi="黑体" w:eastAsia="黑体"/>
          <w:kern w:val="0"/>
          <w:sz w:val="34"/>
          <w:szCs w:val="34"/>
        </w:rPr>
        <w:t>八、</w:t>
      </w:r>
      <w:bookmarkEnd w:id="11"/>
      <w:r>
        <w:rPr>
          <w:rFonts w:hint="eastAsia" w:ascii="黑体" w:hAnsi="黑体" w:eastAsia="黑体"/>
          <w:kern w:val="0"/>
          <w:sz w:val="34"/>
          <w:szCs w:val="34"/>
        </w:rPr>
        <w:t>平安建设扎实推进</w:t>
      </w:r>
      <w:bookmarkEnd w:id="12"/>
    </w:p>
    <w:p w14:paraId="5BDE7CF0">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率先实施“一轴八区”平安建设，依托社区警务站和网格化管理，形成立体化社会治安防控体系。加强社会治安重点地区排查整治，重点区域高清视频监控无死角覆盖。构建多元主体的大调解工作体系，强化舆情监控引导。拓展平安文化平台载体。推进普法教育，实施法律援助“民心工程”，形成“五位一体”群众维权机制和智能化维稳网络。立体化平安建设西岗模式在全国社会治安防控体系建设会议上得到大力推广。深入开展安全发展示范城区建设，群众安全感和满意度不断提升。群众来信来访、国防教育、安全生产、民族宗教、应急管理、人防、消防、交通工作积极推进。</w:t>
      </w:r>
    </w:p>
    <w:p w14:paraId="1423EFB9">
      <w:pPr>
        <w:adjustRightInd w:val="0"/>
        <w:spacing w:line="600" w:lineRule="exact"/>
        <w:ind w:firstLine="680" w:firstLineChars="200"/>
        <w:outlineLvl w:val="1"/>
        <w:rPr>
          <w:rFonts w:hint="eastAsia" w:ascii="黑体" w:hAnsi="黑体" w:eastAsia="黑体"/>
          <w:kern w:val="0"/>
          <w:sz w:val="34"/>
          <w:szCs w:val="34"/>
        </w:rPr>
      </w:pPr>
      <w:bookmarkStart w:id="14" w:name="_Toc439276684"/>
      <w:r>
        <w:rPr>
          <w:rFonts w:hint="eastAsia" w:ascii="黑体" w:hAnsi="黑体" w:eastAsia="黑体"/>
          <w:kern w:val="0"/>
          <w:sz w:val="34"/>
          <w:szCs w:val="34"/>
        </w:rPr>
        <w:t>九、城区环境更加宜居</w:t>
      </w:r>
      <w:bookmarkEnd w:id="13"/>
      <w:bookmarkEnd w:id="14"/>
    </w:p>
    <w:p w14:paraId="7125A409">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五年来，城市建设和管理方面投入达8.5亿元。“五个一”工程和智慧城管建设持续推进，城区生态环境和智慧化管理水平全面提升。建成智慧城管指挥中心、便民“一键通”、市容环境监督等智慧化城市管理系统。完成林茂小区等100万平方米“暖房子”工程，改造老旧楼院672个，建设45个花园社区，维修老旧高层住宅电梯120部。新建14个集贸市场。建成傅家庄公园等40余个停车场，新增泊位7400个。加固维修挡土墙38处。提升改造黄河路、中山路等22条路街环境，建成6条登山路径，新建6个社区健身游园。节能和应对气候变化工作稳步推进，万元地区生产总值能耗累计下降17.6%。深入落实市容环境整治“7+X”工作方案，市容环境更加优美宜居。</w:t>
      </w:r>
    </w:p>
    <w:p w14:paraId="21E7105D">
      <w:pPr>
        <w:adjustRightInd w:val="0"/>
        <w:spacing w:line="600" w:lineRule="exact"/>
        <w:jc w:val="center"/>
        <w:rPr>
          <w:rFonts w:hint="eastAsia" w:ascii="黑体" w:eastAsia="黑体" w:cs="黑体"/>
          <w:sz w:val="28"/>
          <w:szCs w:val="30"/>
        </w:rPr>
      </w:pPr>
    </w:p>
    <w:p w14:paraId="397C79A7">
      <w:pPr>
        <w:adjustRightInd w:val="0"/>
        <w:spacing w:line="600" w:lineRule="exact"/>
        <w:jc w:val="center"/>
        <w:rPr>
          <w:rFonts w:hint="eastAsia" w:ascii="黑体" w:eastAsia="黑体" w:cs="黑体"/>
          <w:sz w:val="28"/>
          <w:szCs w:val="30"/>
        </w:rPr>
      </w:pPr>
    </w:p>
    <w:p w14:paraId="10770F89">
      <w:pPr>
        <w:adjustRightInd w:val="0"/>
        <w:spacing w:line="600" w:lineRule="exact"/>
        <w:jc w:val="center"/>
        <w:rPr>
          <w:rFonts w:hint="eastAsia" w:ascii="黑体" w:eastAsia="黑体" w:cs="黑体"/>
          <w:sz w:val="28"/>
          <w:szCs w:val="30"/>
        </w:rPr>
      </w:pPr>
    </w:p>
    <w:p w14:paraId="37DB20FA">
      <w:pPr>
        <w:adjustRightInd w:val="0"/>
        <w:spacing w:line="600" w:lineRule="exact"/>
        <w:jc w:val="center"/>
        <w:rPr>
          <w:rFonts w:hint="eastAsia" w:ascii="黑体" w:eastAsia="黑体" w:cs="黑体"/>
          <w:sz w:val="28"/>
          <w:szCs w:val="30"/>
        </w:rPr>
      </w:pPr>
    </w:p>
    <w:p w14:paraId="70EF27B6">
      <w:pPr>
        <w:adjustRightInd w:val="0"/>
        <w:spacing w:line="600" w:lineRule="exact"/>
        <w:jc w:val="center"/>
        <w:rPr>
          <w:rFonts w:hint="eastAsia" w:ascii="黑体" w:eastAsia="黑体" w:cs="黑体"/>
          <w:sz w:val="28"/>
          <w:szCs w:val="30"/>
        </w:rPr>
      </w:pPr>
    </w:p>
    <w:p w14:paraId="473D679B">
      <w:pPr>
        <w:adjustRightInd w:val="0"/>
        <w:spacing w:line="600" w:lineRule="exact"/>
        <w:jc w:val="center"/>
        <w:rPr>
          <w:rFonts w:hint="eastAsia" w:ascii="黑体" w:eastAsia="黑体" w:cs="黑体"/>
          <w:sz w:val="28"/>
          <w:szCs w:val="30"/>
        </w:rPr>
      </w:pPr>
    </w:p>
    <w:p w14:paraId="572ACFFE">
      <w:pPr>
        <w:adjustRightInd w:val="0"/>
        <w:spacing w:line="600" w:lineRule="exact"/>
        <w:jc w:val="center"/>
        <w:rPr>
          <w:rFonts w:hint="eastAsia" w:ascii="黑体" w:eastAsia="黑体" w:cs="黑体"/>
          <w:sz w:val="28"/>
          <w:szCs w:val="30"/>
        </w:rPr>
      </w:pPr>
    </w:p>
    <w:p w14:paraId="6436F2A9">
      <w:pPr>
        <w:adjustRightInd w:val="0"/>
        <w:spacing w:line="600" w:lineRule="exact"/>
        <w:jc w:val="center"/>
        <w:rPr>
          <w:rFonts w:hint="eastAsia" w:ascii="黑体" w:eastAsia="黑体" w:cs="黑体"/>
          <w:sz w:val="28"/>
          <w:szCs w:val="30"/>
        </w:rPr>
      </w:pPr>
    </w:p>
    <w:p w14:paraId="6BD1E1DD">
      <w:pPr>
        <w:adjustRightInd w:val="0"/>
        <w:spacing w:line="600" w:lineRule="exact"/>
        <w:jc w:val="center"/>
        <w:rPr>
          <w:rFonts w:hint="eastAsia" w:ascii="黑体" w:eastAsia="黑体" w:cs="黑体"/>
          <w:sz w:val="28"/>
          <w:szCs w:val="30"/>
        </w:rPr>
      </w:pPr>
    </w:p>
    <w:p w14:paraId="5D94691B">
      <w:pPr>
        <w:adjustRightInd w:val="0"/>
        <w:spacing w:line="600" w:lineRule="exact"/>
        <w:jc w:val="center"/>
        <w:rPr>
          <w:rFonts w:hint="eastAsia" w:ascii="黑体" w:eastAsia="黑体" w:cs="黑体"/>
          <w:sz w:val="28"/>
          <w:szCs w:val="30"/>
        </w:rPr>
      </w:pPr>
    </w:p>
    <w:p w14:paraId="7D6BE385">
      <w:pPr>
        <w:adjustRightInd w:val="0"/>
        <w:spacing w:line="600" w:lineRule="exact"/>
        <w:jc w:val="center"/>
        <w:rPr>
          <w:rFonts w:hint="eastAsia" w:ascii="黑体" w:eastAsia="黑体" w:cs="黑体"/>
          <w:sz w:val="28"/>
          <w:szCs w:val="30"/>
        </w:rPr>
      </w:pPr>
    </w:p>
    <w:p w14:paraId="0F84163C">
      <w:pPr>
        <w:adjustRightInd w:val="0"/>
        <w:spacing w:line="600" w:lineRule="exact"/>
        <w:jc w:val="center"/>
        <w:rPr>
          <w:rFonts w:hint="eastAsia" w:ascii="黑体" w:eastAsia="黑体" w:cs="黑体"/>
          <w:sz w:val="28"/>
          <w:szCs w:val="30"/>
        </w:rPr>
      </w:pPr>
    </w:p>
    <w:p w14:paraId="337AF707">
      <w:pPr>
        <w:adjustRightInd w:val="0"/>
        <w:spacing w:line="600" w:lineRule="exact"/>
        <w:jc w:val="center"/>
        <w:rPr>
          <w:rFonts w:hint="eastAsia" w:ascii="黑体" w:eastAsia="黑体" w:cs="黑体"/>
          <w:sz w:val="28"/>
          <w:szCs w:val="30"/>
        </w:rPr>
      </w:pPr>
    </w:p>
    <w:p w14:paraId="62430424">
      <w:pPr>
        <w:adjustRightInd w:val="0"/>
        <w:spacing w:line="600" w:lineRule="exact"/>
        <w:jc w:val="center"/>
        <w:rPr>
          <w:rFonts w:hint="eastAsia" w:ascii="黑体" w:eastAsia="黑体" w:cs="黑体"/>
          <w:sz w:val="28"/>
          <w:szCs w:val="30"/>
        </w:rPr>
      </w:pPr>
    </w:p>
    <w:p w14:paraId="45C3304C">
      <w:pPr>
        <w:adjustRightInd w:val="0"/>
        <w:spacing w:line="600" w:lineRule="exact"/>
        <w:jc w:val="center"/>
        <w:rPr>
          <w:rFonts w:hint="eastAsia" w:ascii="黑体" w:eastAsia="黑体" w:cs="黑体"/>
          <w:sz w:val="28"/>
          <w:szCs w:val="30"/>
        </w:rPr>
      </w:pPr>
    </w:p>
    <w:p w14:paraId="42E13FEA">
      <w:pPr>
        <w:adjustRightInd w:val="0"/>
        <w:spacing w:line="600" w:lineRule="exact"/>
        <w:jc w:val="center"/>
        <w:rPr>
          <w:rFonts w:hint="eastAsia" w:ascii="黑体" w:eastAsia="黑体" w:cs="黑体"/>
          <w:sz w:val="28"/>
          <w:szCs w:val="30"/>
        </w:rPr>
      </w:pPr>
    </w:p>
    <w:p w14:paraId="02535CB2">
      <w:pPr>
        <w:adjustRightInd w:val="0"/>
        <w:spacing w:line="600" w:lineRule="exact"/>
        <w:jc w:val="center"/>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9420" cy="4558030"/>
                <wp:effectExtent l="4445" t="5080" r="19685" b="8890"/>
                <wp:docPr id="9" name="文本框 14"/>
                <wp:cNvGraphicFramePr/>
                <a:graphic xmlns:a="http://schemas.openxmlformats.org/drawingml/2006/main">
                  <a:graphicData uri="http://schemas.microsoft.com/office/word/2010/wordprocessingShape">
                    <wps:wsp>
                      <wps:cNvSpPr txBox="1">
                        <a:spLocks noRot="1"/>
                      </wps:cNvSpPr>
                      <wps:spPr>
                        <a:xfrm>
                          <a:off x="0" y="0"/>
                          <a:ext cx="5519420" cy="4558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37B4B">
                            <w:pPr>
                              <w:adjustRightInd w:val="0"/>
                              <w:jc w:val="center"/>
                              <w:rPr>
                                <w:rFonts w:hint="eastAsia" w:ascii="黑体" w:eastAsia="黑体" w:cs="黑体"/>
                                <w:sz w:val="28"/>
                                <w:szCs w:val="30"/>
                              </w:rPr>
                            </w:pPr>
                            <w:r>
                              <w:rPr>
                                <w:rFonts w:hint="eastAsia" w:ascii="黑体" w:eastAsia="黑体" w:cs="黑体"/>
                                <w:sz w:val="28"/>
                                <w:szCs w:val="30"/>
                              </w:rPr>
                              <w:t>专栏</w:t>
                            </w:r>
                            <w:r>
                              <w:rPr>
                                <w:rFonts w:ascii="黑体" w:eastAsia="黑体" w:cs="黑体"/>
                                <w:sz w:val="28"/>
                                <w:szCs w:val="30"/>
                              </w:rPr>
                              <w:t xml:space="preserve">3  </w:t>
                            </w:r>
                            <w:r>
                              <w:rPr>
                                <w:rFonts w:hint="eastAsia" w:ascii="黑体" w:eastAsia="黑体" w:cs="黑体"/>
                                <w:sz w:val="28"/>
                                <w:szCs w:val="30"/>
                              </w:rPr>
                              <w:t>“十二五”期间主要荣誉</w:t>
                            </w:r>
                          </w:p>
                          <w:p w14:paraId="3197BDAF">
                            <w:pPr>
                              <w:adjustRightInd w:val="0"/>
                              <w:snapToGrid w:val="0"/>
                              <w:spacing w:line="380" w:lineRule="exact"/>
                              <w:ind w:firstLine="420" w:firstLineChars="200"/>
                              <w:jc w:val="left"/>
                            </w:pPr>
                            <w:r>
                              <w:rPr>
                                <w:rFonts w:hint="eastAsia"/>
                              </w:rPr>
                              <w:t>“十二五”期间，西岗区共获得各类主要荣誉193项，其中国家级43项、省级43项、市级107项，主要代表荣誉：</w:t>
                            </w:r>
                          </w:p>
                          <w:p w14:paraId="0A33A7E6">
                            <w:pPr>
                              <w:adjustRightInd w:val="0"/>
                              <w:snapToGrid w:val="0"/>
                              <w:spacing w:line="380" w:lineRule="exact"/>
                              <w:ind w:firstLine="422" w:firstLineChars="200"/>
                              <w:jc w:val="left"/>
                            </w:pPr>
                            <w:r>
                              <w:rPr>
                                <w:b/>
                              </w:rPr>
                              <w:t>国家级：</w:t>
                            </w:r>
                            <w:r>
                              <w:rPr>
                                <w:kern w:val="0"/>
                              </w:rPr>
                              <w:t>第二届全国宗教工作先进单位（2012）、</w:t>
                            </w:r>
                            <w:r>
                              <w:t>国际安全社区</w:t>
                            </w:r>
                            <w:r>
                              <w:rPr>
                                <w:kern w:val="0"/>
                              </w:rPr>
                              <w:t>（2012）、军民共建社会主义精神文明先进单位（2012）、</w:t>
                            </w:r>
                            <w:r>
                              <w:t>第三届全国教育改革创新实践奖（2013）、全国和谐社区建设示范区（2014）、中国城市管理进步奖（2014）、中国社区治理十大创新成果奖（2014）、国家智慧城区创新奖（2014、2015）、中国政府创新优秀实践奖（2015）、全国社会治理范例30佳（2015）、全国社区治理和创新服务实验区（2015）、全国智慧城区推进成就奖（2015）、全国首批民生改善十佳典范城区（2015）、</w:t>
                            </w:r>
                            <w:r>
                              <w:rPr>
                                <w:kern w:val="0"/>
                              </w:rPr>
                              <w:t>全国跳绳推广示范实验区</w:t>
                            </w:r>
                            <w:r>
                              <w:t>（2015）、全国区域教育综合改革创新成果奖、中国民间文化艺术之乡工作标兵单位</w:t>
                            </w:r>
                            <w:r>
                              <w:rPr>
                                <w:rFonts w:hint="eastAsia"/>
                              </w:rPr>
                              <w:t>。</w:t>
                            </w:r>
                          </w:p>
                          <w:p w14:paraId="6A07B381">
                            <w:pPr>
                              <w:adjustRightInd w:val="0"/>
                              <w:snapToGrid w:val="0"/>
                              <w:spacing w:line="380" w:lineRule="exact"/>
                              <w:ind w:firstLine="422" w:firstLineChars="200"/>
                              <w:jc w:val="left"/>
                            </w:pPr>
                            <w:r>
                              <w:rPr>
                                <w:b/>
                              </w:rPr>
                              <w:t>省  级：</w:t>
                            </w:r>
                            <w:r>
                              <w:t>辽宁省科研兴教十强区（2011）、辽宁沿海经济带首个全域现代服务业集聚区（2012）、辽宁</w:t>
                            </w:r>
                            <w:r>
                              <w:rPr>
                                <w:rFonts w:hint="eastAsia"/>
                              </w:rPr>
                              <w:t>省文明城区标兵区（2011）、</w:t>
                            </w:r>
                            <w:r>
                              <w:t>辽宁省社会组织建设创新示范区（2014）、辽宁省双拥共建模范区八连冠、连续11年获评全省平安示范区、连续5年</w:t>
                            </w:r>
                            <w:r>
                              <w:rPr>
                                <w:rFonts w:hint="eastAsia"/>
                              </w:rPr>
                              <w:t>获评</w:t>
                            </w:r>
                            <w:r>
                              <w:t>省级无传销区</w:t>
                            </w:r>
                            <w:r>
                              <w:rPr>
                                <w:rFonts w:hint="eastAsia"/>
                              </w:rPr>
                              <w:t>。</w:t>
                            </w:r>
                          </w:p>
                          <w:p w14:paraId="5421CB64">
                            <w:pPr>
                              <w:adjustRightInd w:val="0"/>
                              <w:snapToGrid w:val="0"/>
                              <w:spacing w:line="380" w:lineRule="exact"/>
                              <w:ind w:firstLine="413" w:firstLineChars="196"/>
                              <w:jc w:val="left"/>
                              <w:rPr>
                                <w:rFonts w:hint="eastAsia"/>
                              </w:rPr>
                            </w:pPr>
                            <w:r>
                              <w:rPr>
                                <w:b/>
                              </w:rPr>
                              <w:t>市  级：</w:t>
                            </w:r>
                            <w:r>
                              <w:rPr>
                                <w:rFonts w:hint="eastAsia"/>
                              </w:rPr>
                              <w:t>大连市大规模造林绿化先进单位（2011）、大连市依法行政工作先进单位（2011、2012年）、大连市实际利用外资先进单位（2011、2012）、大连市人口和计划生育工作先进集体（2012）、大连市服务型政府建设达标单位（2012）、大连市青山生态系统工程建设模范区（2012、2013）。</w:t>
                            </w:r>
                          </w:p>
                        </w:txbxContent>
                      </wps:txbx>
                      <wps:bodyPr wrap="square" upright="1"/>
                    </wps:wsp>
                  </a:graphicData>
                </a:graphic>
              </wp:inline>
            </w:drawing>
          </mc:Choice>
          <mc:Fallback>
            <w:pict>
              <v:shape id="文本框 14" o:spid="_x0000_s1026" o:spt="202" type="#_x0000_t202" style="height:358.9pt;width:434.6pt;" fillcolor="#FFFFFF" filled="t" stroked="t" coordsize="21600,21600" o:gfxdata="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trd&#10;RNYAAAAFAQAADwAAAAAAAAABACAAAAAiAAAAZHJzL2Rvd25yZXYueG1sUEsBAhQAFAAAAAgAh07i&#10;QH3xL2kkAgAAaQQAAA4AAAAAAAAAAQAgAAAAJQEAAGRycy9lMm9Eb2MueG1sUEsFBgAAAAAGAAYA&#10;WQEAALsFAAAAAA==&#10;">
                <v:fill on="t" focussize="0,0"/>
                <v:stroke color="#000000" joinstyle="miter"/>
                <v:imagedata o:title=""/>
                <o:lock v:ext="edit" rotation="t" aspectratio="f"/>
                <v:textbox>
                  <w:txbxContent>
                    <w:p w14:paraId="09137B4B">
                      <w:pPr>
                        <w:adjustRightInd w:val="0"/>
                        <w:jc w:val="center"/>
                        <w:rPr>
                          <w:rFonts w:hint="eastAsia" w:ascii="黑体" w:eastAsia="黑体" w:cs="黑体"/>
                          <w:sz w:val="28"/>
                          <w:szCs w:val="30"/>
                        </w:rPr>
                      </w:pPr>
                      <w:r>
                        <w:rPr>
                          <w:rFonts w:hint="eastAsia" w:ascii="黑体" w:eastAsia="黑体" w:cs="黑体"/>
                          <w:sz w:val="28"/>
                          <w:szCs w:val="30"/>
                        </w:rPr>
                        <w:t>专栏</w:t>
                      </w:r>
                      <w:r>
                        <w:rPr>
                          <w:rFonts w:ascii="黑体" w:eastAsia="黑体" w:cs="黑体"/>
                          <w:sz w:val="28"/>
                          <w:szCs w:val="30"/>
                        </w:rPr>
                        <w:t xml:space="preserve">3  </w:t>
                      </w:r>
                      <w:r>
                        <w:rPr>
                          <w:rFonts w:hint="eastAsia" w:ascii="黑体" w:eastAsia="黑体" w:cs="黑体"/>
                          <w:sz w:val="28"/>
                          <w:szCs w:val="30"/>
                        </w:rPr>
                        <w:t>“十二五”期间主要荣誉</w:t>
                      </w:r>
                    </w:p>
                    <w:p w14:paraId="3197BDAF">
                      <w:pPr>
                        <w:adjustRightInd w:val="0"/>
                        <w:snapToGrid w:val="0"/>
                        <w:spacing w:line="380" w:lineRule="exact"/>
                        <w:ind w:firstLine="420" w:firstLineChars="200"/>
                        <w:jc w:val="left"/>
                      </w:pPr>
                      <w:r>
                        <w:rPr>
                          <w:rFonts w:hint="eastAsia"/>
                        </w:rPr>
                        <w:t>“十二五”期间，西岗区共获得各类主要荣誉193项，其中国家级43项、省级43项、市级107项，主要代表荣誉：</w:t>
                      </w:r>
                    </w:p>
                    <w:p w14:paraId="0A33A7E6">
                      <w:pPr>
                        <w:adjustRightInd w:val="0"/>
                        <w:snapToGrid w:val="0"/>
                        <w:spacing w:line="380" w:lineRule="exact"/>
                        <w:ind w:firstLine="422" w:firstLineChars="200"/>
                        <w:jc w:val="left"/>
                      </w:pPr>
                      <w:r>
                        <w:rPr>
                          <w:b/>
                        </w:rPr>
                        <w:t>国家级：</w:t>
                      </w:r>
                      <w:r>
                        <w:rPr>
                          <w:kern w:val="0"/>
                        </w:rPr>
                        <w:t>第二届全国宗教工作先进单位（2012）、</w:t>
                      </w:r>
                      <w:r>
                        <w:t>国际安全社区</w:t>
                      </w:r>
                      <w:r>
                        <w:rPr>
                          <w:kern w:val="0"/>
                        </w:rPr>
                        <w:t>（2012）、军民共建社会主义精神文明先进单位（2012）、</w:t>
                      </w:r>
                      <w:r>
                        <w:t>第三届全国教育改革创新实践奖（2013）、全国和谐社区建设示范区（2014）、中国城市管理进步奖（2014）、中国社区治理十大创新成果奖（2014）、国家智慧城区创新奖（2014、2015）、中国政府创新优秀实践奖（2015）、全国社会治理范例30佳（2015）、全国社区治理和创新服务实验区（2015）、全国智慧城区推进成就奖（2015）、全国首批民生改善十佳典范城区（2015）、</w:t>
                      </w:r>
                      <w:r>
                        <w:rPr>
                          <w:kern w:val="0"/>
                        </w:rPr>
                        <w:t>全国跳绳推广示范实验区</w:t>
                      </w:r>
                      <w:r>
                        <w:t>（2015）、全国区域教育综合改革创新成果奖、中国民间文化艺术之乡工作标兵单位</w:t>
                      </w:r>
                      <w:r>
                        <w:rPr>
                          <w:rFonts w:hint="eastAsia"/>
                        </w:rPr>
                        <w:t>。</w:t>
                      </w:r>
                    </w:p>
                    <w:p w14:paraId="6A07B381">
                      <w:pPr>
                        <w:adjustRightInd w:val="0"/>
                        <w:snapToGrid w:val="0"/>
                        <w:spacing w:line="380" w:lineRule="exact"/>
                        <w:ind w:firstLine="422" w:firstLineChars="200"/>
                        <w:jc w:val="left"/>
                      </w:pPr>
                      <w:r>
                        <w:rPr>
                          <w:b/>
                        </w:rPr>
                        <w:t>省  级：</w:t>
                      </w:r>
                      <w:r>
                        <w:t>辽宁省科研兴教十强区（2011）、辽宁沿海经济带首个全域现代服务业集聚区（2012）、辽宁</w:t>
                      </w:r>
                      <w:r>
                        <w:rPr>
                          <w:rFonts w:hint="eastAsia"/>
                        </w:rPr>
                        <w:t>省文明城区标兵区（2011）、</w:t>
                      </w:r>
                      <w:r>
                        <w:t>辽宁省社会组织建设创新示范区（2014）、辽宁省双拥共建模范区八连冠、连续11年获评全省平安示范区、连续5年</w:t>
                      </w:r>
                      <w:r>
                        <w:rPr>
                          <w:rFonts w:hint="eastAsia"/>
                        </w:rPr>
                        <w:t>获评</w:t>
                      </w:r>
                      <w:r>
                        <w:t>省级无传销区</w:t>
                      </w:r>
                      <w:r>
                        <w:rPr>
                          <w:rFonts w:hint="eastAsia"/>
                        </w:rPr>
                        <w:t>。</w:t>
                      </w:r>
                    </w:p>
                    <w:p w14:paraId="5421CB64">
                      <w:pPr>
                        <w:adjustRightInd w:val="0"/>
                        <w:snapToGrid w:val="0"/>
                        <w:spacing w:line="380" w:lineRule="exact"/>
                        <w:ind w:firstLine="413" w:firstLineChars="196"/>
                        <w:jc w:val="left"/>
                        <w:rPr>
                          <w:rFonts w:hint="eastAsia"/>
                        </w:rPr>
                      </w:pPr>
                      <w:r>
                        <w:rPr>
                          <w:b/>
                        </w:rPr>
                        <w:t>市  级：</w:t>
                      </w:r>
                      <w:r>
                        <w:rPr>
                          <w:rFonts w:hint="eastAsia"/>
                        </w:rPr>
                        <w:t>大连市大规模造林绿化先进单位（2011）、大连市依法行政工作先进单位（2011、2012年）、大连市实际利用外资先进单位（2011、2012）、大连市人口和计划生育工作先进集体（2012）、大连市服务型政府建设达标单位（2012）、大连市青山生态系统工程建设模范区（2012、2013）。</w:t>
                      </w:r>
                    </w:p>
                  </w:txbxContent>
                </v:textbox>
                <w10:wrap type="none"/>
                <w10:anchorlock/>
              </v:shape>
            </w:pict>
          </mc:Fallback>
        </mc:AlternateContent>
      </w:r>
      <w:bookmarkStart w:id="15" w:name="_Toc439276685"/>
    </w:p>
    <w:p w14:paraId="3912396B">
      <w:pPr>
        <w:adjustRightInd w:val="0"/>
        <w:spacing w:before="468" w:beforeLines="150" w:after="156" w:afterLines="50" w:line="600" w:lineRule="exact"/>
        <w:jc w:val="center"/>
        <w:outlineLvl w:val="0"/>
        <w:rPr>
          <w:rFonts w:hint="eastAsia" w:ascii="黑体" w:hAnsi="黑体" w:eastAsia="黑体"/>
          <w:sz w:val="34"/>
          <w:szCs w:val="34"/>
        </w:rPr>
      </w:pPr>
      <w:r>
        <w:rPr>
          <w:rFonts w:hint="eastAsia" w:ascii="黑体" w:hAnsi="黑体" w:eastAsia="黑体"/>
          <w:sz w:val="34"/>
          <w:szCs w:val="34"/>
        </w:rPr>
        <w:t>第二章  现代化品质城区建设的新蓝图</w:t>
      </w:r>
      <w:bookmarkEnd w:id="15"/>
    </w:p>
    <w:p w14:paraId="0E97DB72">
      <w:pPr>
        <w:adjustRightInd w:val="0"/>
        <w:spacing w:line="600" w:lineRule="exact"/>
        <w:ind w:firstLine="680" w:firstLineChars="200"/>
        <w:outlineLvl w:val="1"/>
        <w:rPr>
          <w:rFonts w:hint="eastAsia" w:ascii="黑体" w:hAnsi="黑体" w:eastAsia="黑体"/>
          <w:kern w:val="0"/>
          <w:sz w:val="34"/>
          <w:szCs w:val="34"/>
        </w:rPr>
      </w:pPr>
      <w:bookmarkStart w:id="16" w:name="_Toc439276686"/>
      <w:r>
        <w:rPr>
          <w:rFonts w:hint="eastAsia" w:ascii="黑体" w:hAnsi="黑体" w:eastAsia="黑体"/>
          <w:kern w:val="0"/>
          <w:sz w:val="34"/>
          <w:szCs w:val="34"/>
        </w:rPr>
        <w:t>一、发展环境</w:t>
      </w:r>
      <w:bookmarkEnd w:id="16"/>
    </w:p>
    <w:p w14:paraId="0A9699FC">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“十三五”时期，国内外环境依然复杂，正确认识风险挑战，准确把握有利机遇，对于西岗区经济社会发展具有重要意义。</w:t>
      </w:r>
    </w:p>
    <w:p w14:paraId="0753B5AA">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从国际环境看，</w:t>
      </w:r>
      <w:r>
        <w:rPr>
          <w:rFonts w:hint="eastAsia" w:ascii="仿宋_GB2312" w:eastAsia="仿宋_GB2312"/>
          <w:sz w:val="34"/>
          <w:szCs w:val="34"/>
        </w:rPr>
        <w:t>和平与发展依然是时代的主题。国际金融危机的深层次影响长期存在，世界经济在深度调整中曲折复苏，经济总体增长速度趋缓。全球经济一体化进程加快，新技术、新产业革命蓄势待发。国际和区域经贸规则主导权争夺加剧，外部环境不确定因素增多。为此，我们要密切关注世界局势，接轨科技前沿，努力培育壮大新兴产业。</w:t>
      </w:r>
    </w:p>
    <w:p w14:paraId="380E56AD">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从国内环境看，</w:t>
      </w:r>
      <w:r>
        <w:rPr>
          <w:rFonts w:hint="eastAsia" w:ascii="仿宋_GB2312" w:eastAsia="仿宋_GB2312"/>
          <w:sz w:val="34"/>
          <w:szCs w:val="34"/>
        </w:rPr>
        <w:t>我国仍处于大有作为的战略机遇期。认识新常态、适应新常态、引领新常态，是当前和今后一段时期我国经济发展的大逻辑，创新将成为核心驱动力。“大众创业、万众创新”、“一带一路”、京津冀协同发展、东北老工业基地新十年振兴等战略实施，将为经济增长动力转换提供新引擎，创造新的发展空间。实施精准扶贫，打赢脱贫攻坚战，将缩小城乡和区域发展差距，加快全面小康社会建设步伐。建设和谐宜居、富有活力、各具特色的现代化城市，将增强城市对于经济社会发展的推动作用。为此，我们要抓住国家深化供给侧改革、优化结构、增强动力、强化城市发展等有利机遇，精准发力，加快转型升级，进一步提高城区发展的持续性、宜居性。</w:t>
      </w:r>
    </w:p>
    <w:p w14:paraId="0B94B5E3">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从大连情况看，</w:t>
      </w:r>
      <w:r>
        <w:rPr>
          <w:rFonts w:hint="eastAsia" w:ascii="仿宋_GB2312" w:eastAsia="仿宋_GB2312"/>
          <w:sz w:val="34"/>
          <w:szCs w:val="34"/>
        </w:rPr>
        <w:t>积极主动适应新常态，深化改革扩大开放、提升创新能力将为发展注入强劲动力。尤其是加快推进“两先区”、“四个中心、一个聚集区”和金普新区建设，将进一步提升区域资源要素配置能力和可持续发展能力，加速进入创新驱动发展、结构转型升级、城市功能提升、深入开放合作和“四化统筹”协同推进的新时期。同时，“十三五”时期也是大连转型升级的关键阶段，投资和出口对经济增长贡献减弱、自主创新能力不强、生态环境问题凸显、民生需求增长和财政收入放缓的矛盾等难题亟待解决。为此，我们要高点定位，率先转型发展，进一步发挥主城区先发优势和引领作用。</w:t>
      </w:r>
    </w:p>
    <w:p w14:paraId="5FBCAFE5">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从西岗实际看，</w:t>
      </w:r>
      <w:r>
        <w:rPr>
          <w:rFonts w:hint="eastAsia" w:ascii="仿宋_GB2312" w:eastAsia="仿宋_GB2312"/>
          <w:sz w:val="34"/>
          <w:szCs w:val="34"/>
        </w:rPr>
        <w:t>“内涵发展、品质提升、创新驱动”发展战略的科学实践，为抢抓新一轮发展奠定坚实基础，提供了丰富经验。</w:t>
      </w:r>
      <w:r>
        <w:rPr>
          <w:rFonts w:hint="eastAsia" w:ascii="仿宋_GB2312" w:eastAsia="仿宋_GB2312"/>
          <w:b/>
          <w:sz w:val="34"/>
          <w:szCs w:val="34"/>
        </w:rPr>
        <w:t>一是</w:t>
      </w:r>
      <w:r>
        <w:rPr>
          <w:rFonts w:hint="eastAsia" w:ascii="仿宋_GB2312" w:eastAsia="仿宋_GB2312"/>
          <w:sz w:val="34"/>
          <w:szCs w:val="34"/>
        </w:rPr>
        <w:t>注重经济发展质量提升和结构优化，实施总部经济和楼宇经济核心战略，推动全域现代服务业集聚区建设，新的经济增长点加快形成；</w:t>
      </w:r>
      <w:r>
        <w:rPr>
          <w:rFonts w:hint="eastAsia" w:ascii="仿宋_GB2312" w:eastAsia="仿宋_GB2312"/>
          <w:b/>
          <w:sz w:val="34"/>
          <w:szCs w:val="34"/>
        </w:rPr>
        <w:t>二是</w:t>
      </w:r>
      <w:r>
        <w:rPr>
          <w:rFonts w:hint="eastAsia" w:ascii="仿宋_GB2312" w:eastAsia="仿宋_GB2312"/>
          <w:sz w:val="34"/>
          <w:szCs w:val="34"/>
        </w:rPr>
        <w:t>注重优化发展环境，推进下放权力承接，实行权力清单制度，提升城区治理水平，厚植新的发展优势；</w:t>
      </w:r>
      <w:r>
        <w:rPr>
          <w:rFonts w:hint="eastAsia" w:ascii="仿宋_GB2312" w:eastAsia="仿宋_GB2312"/>
          <w:b/>
          <w:sz w:val="34"/>
          <w:szCs w:val="34"/>
        </w:rPr>
        <w:t>三是</w:t>
      </w:r>
      <w:r>
        <w:rPr>
          <w:rFonts w:hint="eastAsia" w:ascii="仿宋_GB2312" w:eastAsia="仿宋_GB2312"/>
          <w:sz w:val="34"/>
          <w:szCs w:val="34"/>
        </w:rPr>
        <w:t>注重发挥大项目牵动作用，拉动功能区建设和产业集聚，推进发展方式转变，发展动力不断积蓄；</w:t>
      </w:r>
      <w:r>
        <w:rPr>
          <w:rFonts w:hint="eastAsia" w:ascii="仿宋_GB2312" w:eastAsia="仿宋_GB2312"/>
          <w:b/>
          <w:sz w:val="34"/>
          <w:szCs w:val="34"/>
        </w:rPr>
        <w:t>四是</w:t>
      </w:r>
      <w:r>
        <w:rPr>
          <w:rFonts w:hint="eastAsia" w:ascii="仿宋_GB2312" w:eastAsia="仿宋_GB2312"/>
          <w:sz w:val="34"/>
          <w:szCs w:val="34"/>
        </w:rPr>
        <w:t>注重保障和改善民生，改革发展成果最大限度地惠及到全区人民；</w:t>
      </w:r>
      <w:r>
        <w:rPr>
          <w:rFonts w:hint="eastAsia" w:ascii="仿宋_GB2312" w:eastAsia="仿宋_GB2312"/>
          <w:b/>
          <w:sz w:val="34"/>
          <w:szCs w:val="34"/>
        </w:rPr>
        <w:t>五是</w:t>
      </w:r>
      <w:r>
        <w:rPr>
          <w:rFonts w:hint="eastAsia" w:ascii="仿宋_GB2312" w:eastAsia="仿宋_GB2312"/>
          <w:sz w:val="34"/>
          <w:szCs w:val="34"/>
        </w:rPr>
        <w:t>注重社会治理创新，深化社会治安立体化防控体系建设，强化建管结合，城区环境更加平安宜居。</w:t>
      </w:r>
    </w:p>
    <w:p w14:paraId="1E547873">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十三五”时期，西岗区的发展既面临着压力和挑战，更充满难得的机遇。由于宏观环境和发展阶段的变化，西岗区面临的挑战依然严峻，主要表现在：一是优化空间布局的挑战。西岗区地处老城区，人口密度高，旧城区改造难度大，发展空间有限，部分区域功能布局不够完善，各区域功能关联互动性不强，一定程度上制约了城区经济发展。二是传统增长方式的挑战。经济增长的要素驱动惯性依然明显，创新对经济发展的推动作用尚未充分发挥。新产业和新经济增长点的培育需要较长过程。三是主城区同质化发展的挑战。现代服务业是主城区的主导产业，在产业结构不断转型升级的过程中，各主城区产业发展必然形成新一轮交叉重叠。四是社会有效供给改善的挑战。优质公共服务资源尚不充足，日益增长的民生需求对民生工作机制的创新提出了更高要求。这些挑战需要我们在“十三五”发展中认真应对、努力破解。</w:t>
      </w:r>
    </w:p>
    <w:p w14:paraId="6579EF8F">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站在新的起点上，西岗区进入转型升级的关键阶段，迎来重大的发展机遇：</w:t>
      </w:r>
      <w:r>
        <w:rPr>
          <w:rFonts w:hint="eastAsia" w:ascii="仿宋_GB2312" w:eastAsia="仿宋_GB2312"/>
          <w:b/>
          <w:sz w:val="34"/>
          <w:szCs w:val="34"/>
        </w:rPr>
        <w:t>一是完善体制机制推动创新发展的关键期。</w:t>
      </w:r>
      <w:r>
        <w:rPr>
          <w:rFonts w:hint="eastAsia" w:ascii="仿宋_GB2312" w:eastAsia="仿宋_GB2312"/>
          <w:sz w:val="34"/>
          <w:szCs w:val="34"/>
        </w:rPr>
        <w:t>各项改革深入推进，市场对于资源的高效配置作用进一步发挥，创新成为城区发展的内生动力，发展活力涌现。</w:t>
      </w:r>
      <w:r>
        <w:rPr>
          <w:rFonts w:hint="eastAsia" w:ascii="仿宋_GB2312" w:eastAsia="仿宋_GB2312"/>
          <w:b/>
          <w:sz w:val="34"/>
          <w:szCs w:val="34"/>
        </w:rPr>
        <w:t>二是转变经济发展方式推动协调发展的攻坚期。</w:t>
      </w:r>
      <w:r>
        <w:rPr>
          <w:rFonts w:hint="eastAsia" w:ascii="仿宋_GB2312" w:eastAsia="仿宋_GB2312"/>
          <w:sz w:val="34"/>
          <w:szCs w:val="34"/>
        </w:rPr>
        <w:t>“互联网+”深度融合，产业结构持续优化，新经济增长点明晰壮大，经济、生态、民生更加协调，进入内涵发展新阶段。</w:t>
      </w:r>
      <w:r>
        <w:rPr>
          <w:rFonts w:hint="eastAsia" w:ascii="仿宋_GB2312" w:eastAsia="仿宋_GB2312"/>
          <w:b/>
          <w:sz w:val="34"/>
          <w:szCs w:val="34"/>
        </w:rPr>
        <w:t>三是立足生态优先推动绿色发展的提升期。</w:t>
      </w:r>
      <w:r>
        <w:rPr>
          <w:rFonts w:hint="eastAsia" w:ascii="仿宋_GB2312" w:eastAsia="仿宋_GB2312"/>
          <w:sz w:val="34"/>
          <w:szCs w:val="34"/>
        </w:rPr>
        <w:t>转变发展理念方式，大力发展绿色经济，生产方式和生活方式更加低碳化、绿色化，经济社会进步与生态环境优化实现双赢。</w:t>
      </w:r>
      <w:r>
        <w:rPr>
          <w:rFonts w:hint="eastAsia" w:ascii="仿宋_GB2312" w:eastAsia="仿宋_GB2312"/>
          <w:b/>
          <w:sz w:val="34"/>
          <w:szCs w:val="34"/>
        </w:rPr>
        <w:t>四是加强联动融合推动开放发展的拓展期。</w:t>
      </w:r>
      <w:r>
        <w:rPr>
          <w:rFonts w:hint="eastAsia" w:ascii="仿宋_GB2312" w:eastAsia="仿宋_GB2312"/>
          <w:sz w:val="34"/>
          <w:szCs w:val="34"/>
        </w:rPr>
        <w:t>抢抓新一轮开放合作机遇，加强区域合作交流，内外双向开放联动，赢得新动力，拓展新空间。</w:t>
      </w:r>
      <w:r>
        <w:rPr>
          <w:rFonts w:hint="eastAsia" w:ascii="仿宋_GB2312" w:eastAsia="仿宋_GB2312"/>
          <w:b/>
          <w:sz w:val="34"/>
          <w:szCs w:val="34"/>
        </w:rPr>
        <w:t>五是深化多元共治推动共享发展的完善期。</w:t>
      </w:r>
      <w:r>
        <w:rPr>
          <w:rFonts w:hint="eastAsia" w:ascii="仿宋_GB2312" w:eastAsia="仿宋_GB2312"/>
          <w:sz w:val="34"/>
          <w:szCs w:val="34"/>
        </w:rPr>
        <w:t>坚持以人为本，高品质公共服务+互联网将进一步提升社会治理智慧化水平，政府主导+全民参与将进一步完善公共服务体系，形成共建共享新格局。</w:t>
      </w:r>
      <w:r>
        <w:rPr>
          <w:rFonts w:hint="eastAsia" w:ascii="仿宋_GB2312" w:eastAsia="仿宋_GB2312"/>
          <w:b/>
          <w:sz w:val="34"/>
          <w:szCs w:val="34"/>
        </w:rPr>
        <w:t>六是提升民生福祉率先全面建成小康社会的决胜期。</w:t>
      </w:r>
      <w:r>
        <w:rPr>
          <w:rFonts w:hint="eastAsia" w:ascii="仿宋_GB2312" w:eastAsia="仿宋_GB2312"/>
          <w:sz w:val="34"/>
          <w:szCs w:val="34"/>
        </w:rPr>
        <w:t>坚持发展为民，城区经济持续提质增效，社会更加公平正义，居民可支配收入不断提高，生活水平和质量大幅提升。</w:t>
      </w:r>
    </w:p>
    <w:p w14:paraId="4C0E8EDC">
      <w:pPr>
        <w:adjustRightInd w:val="0"/>
        <w:spacing w:line="600" w:lineRule="exact"/>
        <w:ind w:firstLine="680" w:firstLineChars="200"/>
        <w:outlineLvl w:val="1"/>
        <w:rPr>
          <w:rFonts w:hint="eastAsia" w:ascii="黑体" w:hAnsi="黑体" w:eastAsia="黑体"/>
          <w:kern w:val="0"/>
          <w:sz w:val="34"/>
          <w:szCs w:val="34"/>
        </w:rPr>
      </w:pPr>
      <w:bookmarkStart w:id="17" w:name="_Toc439276687"/>
      <w:r>
        <w:rPr>
          <w:rFonts w:hint="eastAsia" w:ascii="黑体" w:hAnsi="黑体" w:eastAsia="黑体"/>
          <w:kern w:val="0"/>
          <w:sz w:val="34"/>
          <w:szCs w:val="34"/>
        </w:rPr>
        <w:t>二、指导思想</w:t>
      </w:r>
      <w:bookmarkEnd w:id="17"/>
    </w:p>
    <w:p w14:paraId="34571A70">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高举中国特色社会主义伟大旗帜，全面贯彻落实党的十八大和十八届三中、四中、五中全会精神，以马克思列宁主义、毛泽东思想、邓小平理论、“三个代表”重要思想、科学发展观为指导，深入贯彻习近平总书记系列重要讲话精神，全面落实“四个全面”战略布局和“四个着力”要求，牢固树立创新、协调、绿色、开放、共享发展理念，科学把握经济发展新常态，实施“内涵发展、品质提升、创新驱动”发展战略，以提高发展质量和效益为中心，以转变经济发展方式为主线，以改革开放创新为动力，以“双十”工程为载体，以保障和改善民生为根本，以坚持党的全面领导和依法治区为保证，联动发展一轴、重点建设六区，全力推动城区经济社会健康协调可持续发展，率先全面建成小康社会，建设现代化品质城区。</w:t>
      </w:r>
    </w:p>
    <w:p w14:paraId="198CF86D">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建设现代化品质城区，必须遵循以下基本原则：</w:t>
      </w:r>
    </w:p>
    <w:p w14:paraId="4D102D79">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坚持创新引领。</w:t>
      </w:r>
      <w:r>
        <w:rPr>
          <w:rFonts w:hint="eastAsia" w:ascii="仿宋_GB2312" w:eastAsia="仿宋_GB2312"/>
          <w:sz w:val="34"/>
          <w:szCs w:val="34"/>
        </w:rPr>
        <w:t>把创新摆在转型发展的核心位置，推进理念、科技、管理和文化等方面创新。将人才作为创新和转型发展的最根本要素，培养、聚集、用好人才。发挥市场作用，推动新技术、新产业、新业态发展。</w:t>
      </w:r>
    </w:p>
    <w:p w14:paraId="35EF7AC5">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坚持空间优化。</w:t>
      </w:r>
      <w:r>
        <w:rPr>
          <w:rFonts w:hint="eastAsia" w:ascii="仿宋_GB2312" w:eastAsia="仿宋_GB2312"/>
          <w:bCs/>
          <w:sz w:val="34"/>
          <w:szCs w:val="34"/>
        </w:rPr>
        <w:t>注重集约发展，</w:t>
      </w:r>
      <w:r>
        <w:rPr>
          <w:rFonts w:hint="eastAsia" w:ascii="仿宋_GB2312" w:eastAsia="仿宋_GB2312"/>
          <w:sz w:val="34"/>
          <w:szCs w:val="34"/>
        </w:rPr>
        <w:t>以提升单位面积产出效率为目标，向楼宇向地下拓展空间。建设现代服务业集群。强化城区功能与毗邻区域的衔接融合，形成东西贯通、南北繁荣、功能区多点跃升的全域联动格局。</w:t>
      </w:r>
    </w:p>
    <w:p w14:paraId="18DEA17D">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坚持智慧绿色。</w:t>
      </w:r>
      <w:r>
        <w:rPr>
          <w:rFonts w:hint="eastAsia" w:ascii="仿宋_GB2312" w:eastAsia="仿宋_GB2312"/>
          <w:bCs/>
          <w:sz w:val="34"/>
          <w:szCs w:val="34"/>
        </w:rPr>
        <w:t>推动现代信息技术与经济社会发展的深度融合</w:t>
      </w:r>
      <w:r>
        <w:rPr>
          <w:rFonts w:hint="eastAsia" w:ascii="仿宋_GB2312" w:eastAsia="仿宋_GB2312"/>
          <w:sz w:val="34"/>
          <w:szCs w:val="34"/>
        </w:rPr>
        <w:t>，深化智慧化成果应用，推进绿色低碳的生产方式，倡导健康环保的生活方式，促进资源节约与永续利用，形成崇尚生态文明的社会新风，促进人与自然和谐发展。</w:t>
      </w:r>
    </w:p>
    <w:p w14:paraId="45D693C1">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坚持开放合作。</w:t>
      </w:r>
      <w:r>
        <w:rPr>
          <w:rFonts w:hint="eastAsia" w:ascii="仿宋_GB2312" w:eastAsia="仿宋_GB2312"/>
          <w:sz w:val="34"/>
          <w:szCs w:val="34"/>
        </w:rPr>
        <w:t>以大连市建设东北亚国际贸易中心城市，打造面向东北亚区域合作开放战略高地等为契机，坚持“引进来”和“走出去”并重，引资和引技引智并举，充分利用国际国内两个市场、两种资源，提升城区功能和区域竞争力。</w:t>
      </w:r>
    </w:p>
    <w:p w14:paraId="255D35EC">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坚持以人为本。</w:t>
      </w:r>
      <w:r>
        <w:rPr>
          <w:rFonts w:hint="eastAsia" w:ascii="仿宋_GB2312" w:eastAsia="仿宋_GB2312"/>
          <w:sz w:val="34"/>
          <w:szCs w:val="34"/>
        </w:rPr>
        <w:t>以民生福祉作为区域发展的出发点和落脚点，切实解决群众最关心最直接最现实的利益问题。推动人的发展与经济社会发展协调同步，探索社会治理现代化、公共服务共享的新模式新机制，让改革发展成果更多、更公平地惠及全体居民。</w:t>
      </w:r>
    </w:p>
    <w:p w14:paraId="6716E658">
      <w:pPr>
        <w:adjustRightInd w:val="0"/>
        <w:spacing w:line="600" w:lineRule="exact"/>
        <w:ind w:firstLine="680" w:firstLineChars="200"/>
        <w:outlineLvl w:val="1"/>
        <w:rPr>
          <w:rFonts w:hint="eastAsia" w:ascii="黑体" w:hAnsi="黑体" w:eastAsia="黑体"/>
          <w:kern w:val="0"/>
          <w:sz w:val="34"/>
          <w:szCs w:val="34"/>
        </w:rPr>
      </w:pPr>
      <w:bookmarkStart w:id="18" w:name="_Toc439276688"/>
      <w:r>
        <w:rPr>
          <w:rFonts w:hint="eastAsia" w:ascii="黑体" w:hAnsi="黑体" w:eastAsia="黑体"/>
          <w:kern w:val="0"/>
          <w:sz w:val="34"/>
          <w:szCs w:val="34"/>
        </w:rPr>
        <w:t>三、发展目标</w:t>
      </w:r>
      <w:bookmarkEnd w:id="18"/>
    </w:p>
    <w:p w14:paraId="274F6916">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围绕率先全面建成小康社会总体目标，经过全区上下共同努力，到2020年，城区创新能力显著增强，经济发展更有质量，改革开放层次不断提升，公共服务进一步优化，社会治理保持示范引领，城区文化品位彰显，居民生活水平明显提高，生态环境和谐宜居，建设现代化品质城区。</w:t>
      </w:r>
    </w:p>
    <w:p w14:paraId="0457D19E">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具体目标是：</w:t>
      </w:r>
    </w:p>
    <w:p w14:paraId="66D3F3FD">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经济发展。</w:t>
      </w:r>
      <w:r>
        <w:rPr>
          <w:rFonts w:hint="eastAsia" w:ascii="仿宋_GB2312" w:eastAsia="仿宋_GB2312"/>
          <w:sz w:val="34"/>
          <w:szCs w:val="34"/>
        </w:rPr>
        <w:t>经济保持中高速增长，地区生产总值年均增长6%左右；一般公共预算收入年均增长6%左右；固定资产投资年均增长7%左右；社会消费品零售总额年均增长8%以上；外贸出口总额五年累计完成100亿美元；外商直接投资五年累计完成3亿美元。经济发展方式转变成效明显，产业结构进一步优化，服务业增加值占地区生产总值比重达75%。</w:t>
      </w:r>
    </w:p>
    <w:p w14:paraId="0E154F4E">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社会民生。</w:t>
      </w:r>
      <w:r>
        <w:rPr>
          <w:rFonts w:hint="eastAsia" w:ascii="仿宋_GB2312" w:eastAsia="仿宋_GB2312"/>
          <w:sz w:val="34"/>
          <w:szCs w:val="34"/>
        </w:rPr>
        <w:t>城镇居民人均可支配收入高于全市平均水平；学区内学生义务教育巩固率达到99.5%；普惠性幼儿园在园幼儿比例达到80%；城镇新增就业五年累计32850人；城镇登记失业率控制在3%以内；城市居民最低生活保障保持应保尽保；每千名老人拥有养老床位40张；每千人口医生数和护士数分别达到6名、7.5名；人口自然增长率控制在1.01‰以内；安全生产各项指标全面达标。</w:t>
      </w:r>
    </w:p>
    <w:p w14:paraId="00FEAF18">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创新驱动。</w:t>
      </w:r>
      <w:r>
        <w:rPr>
          <w:rFonts w:hint="eastAsia" w:ascii="仿宋_GB2312" w:eastAsia="仿宋_GB2312"/>
          <w:bCs/>
          <w:snapToGrid w:val="0"/>
          <w:kern w:val="0"/>
          <w:sz w:val="34"/>
          <w:szCs w:val="34"/>
        </w:rPr>
        <w:t>专利授权量230件，年均增长7.5%</w:t>
      </w:r>
      <w:r>
        <w:rPr>
          <w:rFonts w:hint="eastAsia" w:ascii="仿宋_GB2312" w:eastAsia="仿宋_GB2312"/>
          <w:snapToGrid w:val="0"/>
          <w:kern w:val="0"/>
          <w:sz w:val="34"/>
          <w:szCs w:val="34"/>
        </w:rPr>
        <w:t>；国家级高新技术企业认定五年累计25家；技术合同交易额达到4.6亿元，年均增长10.4%</w:t>
      </w:r>
      <w:r>
        <w:rPr>
          <w:rFonts w:hint="eastAsia" w:ascii="仿宋_GB2312" w:eastAsia="仿宋_GB2312"/>
          <w:bCs/>
          <w:snapToGrid w:val="0"/>
          <w:kern w:val="0"/>
          <w:sz w:val="34"/>
          <w:szCs w:val="34"/>
        </w:rPr>
        <w:t>。</w:t>
      </w:r>
    </w:p>
    <w:p w14:paraId="3E55443B">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生态环境。</w:t>
      </w:r>
      <w:r>
        <w:rPr>
          <w:rFonts w:hint="eastAsia" w:ascii="仿宋_GB2312" w:eastAsia="仿宋_GB2312"/>
          <w:sz w:val="34"/>
          <w:szCs w:val="34"/>
        </w:rPr>
        <w:t>城市绿化覆盖率达到44.28%；垃圾密闭式收集率保持100%；城区集中供热率达100%；万元地区生产总值能源消耗降低率、万元地区生产总值二氧化碳排放降低率按照市下达任务完成。</w:t>
      </w:r>
    </w:p>
    <w:p w14:paraId="6CF50319">
      <w:pPr>
        <w:adjustRightInd w:val="0"/>
        <w:spacing w:line="600" w:lineRule="exact"/>
        <w:jc w:val="center"/>
        <w:rPr>
          <w:rFonts w:hint="eastAsia" w:eastAsia="黑体"/>
          <w:kern w:val="0"/>
          <w:sz w:val="28"/>
          <w:szCs w:val="30"/>
        </w:rPr>
      </w:pPr>
    </w:p>
    <w:p w14:paraId="26D2FCD7">
      <w:pPr>
        <w:adjustRightInd w:val="0"/>
        <w:spacing w:line="600" w:lineRule="exact"/>
        <w:jc w:val="center"/>
        <w:rPr>
          <w:rFonts w:hint="eastAsia" w:eastAsia="黑体"/>
          <w:kern w:val="0"/>
          <w:sz w:val="28"/>
          <w:szCs w:val="30"/>
        </w:rPr>
      </w:pPr>
    </w:p>
    <w:p w14:paraId="728332A1">
      <w:pPr>
        <w:adjustRightInd w:val="0"/>
        <w:spacing w:line="600" w:lineRule="exact"/>
        <w:jc w:val="center"/>
        <w:rPr>
          <w:rFonts w:hint="eastAsia" w:eastAsia="黑体"/>
          <w:kern w:val="0"/>
          <w:sz w:val="28"/>
          <w:szCs w:val="30"/>
        </w:rPr>
      </w:pPr>
    </w:p>
    <w:p w14:paraId="7EBF439E">
      <w:pPr>
        <w:adjustRightInd w:val="0"/>
        <w:spacing w:line="600" w:lineRule="exact"/>
        <w:jc w:val="center"/>
        <w:rPr>
          <w:rFonts w:hint="eastAsia" w:eastAsia="黑体"/>
          <w:kern w:val="0"/>
          <w:sz w:val="28"/>
          <w:szCs w:val="30"/>
        </w:rPr>
      </w:pPr>
    </w:p>
    <w:p w14:paraId="7C99F247">
      <w:pPr>
        <w:adjustRightInd w:val="0"/>
        <w:spacing w:line="600" w:lineRule="exact"/>
        <w:jc w:val="center"/>
        <w:rPr>
          <w:rFonts w:hint="eastAsia" w:eastAsia="黑体"/>
          <w:kern w:val="0"/>
          <w:sz w:val="28"/>
          <w:szCs w:val="30"/>
        </w:rPr>
      </w:pPr>
    </w:p>
    <w:p w14:paraId="46AC672E">
      <w:pPr>
        <w:adjustRightInd w:val="0"/>
        <w:spacing w:line="600" w:lineRule="exact"/>
        <w:jc w:val="center"/>
        <w:rPr>
          <w:rFonts w:hint="eastAsia" w:eastAsia="黑体"/>
          <w:kern w:val="0"/>
          <w:sz w:val="28"/>
          <w:szCs w:val="30"/>
        </w:rPr>
      </w:pPr>
    </w:p>
    <w:p w14:paraId="08C28599">
      <w:pPr>
        <w:adjustRightInd w:val="0"/>
        <w:spacing w:line="600" w:lineRule="exact"/>
        <w:jc w:val="center"/>
        <w:rPr>
          <w:rFonts w:hint="eastAsia" w:eastAsia="黑体"/>
          <w:kern w:val="0"/>
          <w:sz w:val="28"/>
          <w:szCs w:val="30"/>
        </w:rPr>
      </w:pPr>
    </w:p>
    <w:p w14:paraId="49783E30">
      <w:pPr>
        <w:adjustRightInd w:val="0"/>
        <w:spacing w:line="600" w:lineRule="exact"/>
        <w:jc w:val="center"/>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8785" cy="2743200"/>
                <wp:effectExtent l="4445" t="4445" r="20320" b="14605"/>
                <wp:docPr id="5" name="文本框 7"/>
                <wp:cNvGraphicFramePr/>
                <a:graphic xmlns:a="http://schemas.openxmlformats.org/drawingml/2006/main">
                  <a:graphicData uri="http://schemas.microsoft.com/office/word/2010/wordprocessingShape">
                    <wps:wsp>
                      <wps:cNvSpPr txBox="1">
                        <a:spLocks noRot="1"/>
                      </wps:cNvSpPr>
                      <wps:spPr>
                        <a:xfrm>
                          <a:off x="0" y="0"/>
                          <a:ext cx="5518785" cy="2743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FA479D">
                            <w:pPr>
                              <w:widowControl/>
                              <w:jc w:val="center"/>
                              <w:rPr>
                                <w:rFonts w:eastAsia="黑体"/>
                                <w:kern w:val="0"/>
                                <w:sz w:val="28"/>
                                <w:szCs w:val="30"/>
                              </w:rPr>
                            </w:pPr>
                            <w:r>
                              <w:rPr>
                                <w:rFonts w:eastAsia="黑体"/>
                                <w:kern w:val="0"/>
                                <w:sz w:val="28"/>
                                <w:szCs w:val="30"/>
                              </w:rPr>
                              <w:t>专栏</w:t>
                            </w:r>
                            <w:r>
                              <w:rPr>
                                <w:rFonts w:hint="eastAsia" w:eastAsia="黑体"/>
                                <w:kern w:val="0"/>
                                <w:sz w:val="28"/>
                                <w:szCs w:val="30"/>
                              </w:rPr>
                              <w:t>4</w:t>
                            </w:r>
                            <w:r>
                              <w:rPr>
                                <w:rFonts w:eastAsia="黑体"/>
                                <w:kern w:val="0"/>
                                <w:sz w:val="28"/>
                                <w:szCs w:val="30"/>
                              </w:rPr>
                              <w:t xml:space="preserve">  “双十”工程</w:t>
                            </w:r>
                          </w:p>
                          <w:p w14:paraId="6A0C2094">
                            <w:pPr>
                              <w:widowControl/>
                              <w:adjustRightInd w:val="0"/>
                              <w:snapToGrid w:val="0"/>
                              <w:spacing w:line="400" w:lineRule="exact"/>
                              <w:ind w:firstLine="422" w:firstLineChars="200"/>
                              <w:jc w:val="left"/>
                              <w:rPr>
                                <w:rFonts w:ascii="宋体" w:hAnsi="宋体"/>
                                <w:b/>
                                <w:bCs/>
                              </w:rPr>
                            </w:pPr>
                            <w:r>
                              <w:rPr>
                                <w:rFonts w:ascii="宋体" w:hAnsi="宋体"/>
                                <w:b/>
                                <w:bCs/>
                              </w:rPr>
                              <w:t>十大经济工程：</w:t>
                            </w:r>
                            <w:r>
                              <w:rPr>
                                <w:rFonts w:ascii="宋体" w:hAnsi="宋体"/>
                              </w:rPr>
                              <w:t>1、黑咀子现代商务区建设工程；2、东关街旧城区改造工程；3、高尔基路-凤鸣街</w:t>
                            </w:r>
                            <w:r>
                              <w:rPr>
                                <w:rFonts w:hint="eastAsia" w:ascii="宋体" w:hAnsi="宋体"/>
                              </w:rPr>
                              <w:t>地块改造工程</w:t>
                            </w:r>
                            <w:r>
                              <w:rPr>
                                <w:rFonts w:ascii="宋体" w:hAnsi="宋体"/>
                              </w:rPr>
                              <w:t>；4、原市政总公司地块商务总部建设工程；5、工业设计园创建工程；6</w:t>
                            </w:r>
                            <w:r>
                              <w:rPr>
                                <w:rFonts w:hint="eastAsia" w:ascii="宋体" w:hAnsi="宋体"/>
                              </w:rPr>
                              <w:t>、香炉礁国际商贸物流区功能提升工程</w:t>
                            </w:r>
                            <w:r>
                              <w:rPr>
                                <w:rFonts w:ascii="宋体" w:hAnsi="宋体"/>
                              </w:rPr>
                              <w:t>；7、</w:t>
                            </w:r>
                            <w:r>
                              <w:rPr>
                                <w:rFonts w:hint="eastAsia" w:ascii="宋体" w:hAnsi="宋体"/>
                              </w:rPr>
                              <w:t>傅家庄海岸线功能优化</w:t>
                            </w:r>
                            <w:r>
                              <w:rPr>
                                <w:rFonts w:ascii="宋体" w:hAnsi="宋体"/>
                              </w:rPr>
                              <w:t>工程；8、一二九街总部基地建设工程；9、</w:t>
                            </w:r>
                            <w:r>
                              <w:rPr>
                                <w:rFonts w:hint="eastAsia" w:ascii="宋体" w:hAnsi="宋体"/>
                              </w:rPr>
                              <w:t>站北商圈业态升级工程</w:t>
                            </w:r>
                            <w:r>
                              <w:rPr>
                                <w:rFonts w:ascii="宋体" w:hAnsi="宋体"/>
                              </w:rPr>
                              <w:t>；10、“双创”</w:t>
                            </w:r>
                            <w:r>
                              <w:rPr>
                                <w:rFonts w:hint="eastAsia" w:ascii="宋体" w:hAnsi="宋体"/>
                              </w:rPr>
                              <w:t>空间</w:t>
                            </w:r>
                            <w:r>
                              <w:rPr>
                                <w:rFonts w:ascii="宋体" w:hAnsi="宋体"/>
                              </w:rPr>
                              <w:t>创建工程。</w:t>
                            </w:r>
                          </w:p>
                          <w:p w14:paraId="06754A2A">
                            <w:pPr>
                              <w:widowControl/>
                              <w:adjustRightInd w:val="0"/>
                              <w:snapToGrid w:val="0"/>
                              <w:spacing w:before="156" w:beforeLines="50" w:line="400" w:lineRule="exact"/>
                              <w:ind w:firstLine="422" w:firstLineChars="200"/>
                              <w:jc w:val="left"/>
                              <w:rPr>
                                <w:rFonts w:ascii="宋体" w:hAnsi="宋体"/>
                                <w:b/>
                                <w:bCs/>
                              </w:rPr>
                            </w:pPr>
                            <w:r>
                              <w:rPr>
                                <w:rFonts w:ascii="宋体" w:hAnsi="宋体"/>
                                <w:b/>
                                <w:bCs/>
                              </w:rPr>
                              <w:t>十大民生工程：</w:t>
                            </w:r>
                            <w:r>
                              <w:rPr>
                                <w:rFonts w:hint="eastAsia" w:ascii="宋体" w:hAnsi="宋体"/>
                              </w:rPr>
                              <w:t>1、教育基础设施提升工程；2、品牌社区建设工程；3、现代养老服务建设工程；4、“暖房子”工程；5、公共停车场建设工程；6、山体公园建设工程；7、健康社区服务创星工程；8、食品安全放心示范区创建工程；9、文化惠民共享工程；10、365公共行政服务中心提升工程。</w:t>
                            </w:r>
                          </w:p>
                        </w:txbxContent>
                      </wps:txbx>
                      <wps:bodyPr wrap="square" upright="1"/>
                    </wps:wsp>
                  </a:graphicData>
                </a:graphic>
              </wp:inline>
            </w:drawing>
          </mc:Choice>
          <mc:Fallback>
            <w:pict>
              <v:shape id="文本框 7" o:spid="_x0000_s1026" o:spt="202" type="#_x0000_t202" style="height:216pt;width:434.55pt;" fillcolor="#FFFFFF" filled="t" stroked="t" coordsize="21600,21600" o:gfxdata="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68lLnW&#10;AAAABQEAAA8AAAAAAAAAAQAgAAAAIgAAAGRycy9kb3ducmV2LnhtbFBLAQIUABQAAAAIAIdO4kDJ&#10;c1XeIgIAAGgEAAAOAAAAAAAAAAEAIAAAACUBAABkcnMvZTJvRG9jLnhtbFBLBQYAAAAABgAGAFkB&#10;AAC5BQAAAAA=&#10;">
                <v:fill on="t" focussize="0,0"/>
                <v:stroke color="#000000" joinstyle="miter"/>
                <v:imagedata o:title=""/>
                <o:lock v:ext="edit" rotation="t" aspectratio="f"/>
                <v:textbox>
                  <w:txbxContent>
                    <w:p w14:paraId="55FA479D">
                      <w:pPr>
                        <w:widowControl/>
                        <w:jc w:val="center"/>
                        <w:rPr>
                          <w:rFonts w:eastAsia="黑体"/>
                          <w:kern w:val="0"/>
                          <w:sz w:val="28"/>
                          <w:szCs w:val="30"/>
                        </w:rPr>
                      </w:pPr>
                      <w:r>
                        <w:rPr>
                          <w:rFonts w:eastAsia="黑体"/>
                          <w:kern w:val="0"/>
                          <w:sz w:val="28"/>
                          <w:szCs w:val="30"/>
                        </w:rPr>
                        <w:t>专栏</w:t>
                      </w:r>
                      <w:r>
                        <w:rPr>
                          <w:rFonts w:hint="eastAsia" w:eastAsia="黑体"/>
                          <w:kern w:val="0"/>
                          <w:sz w:val="28"/>
                          <w:szCs w:val="30"/>
                        </w:rPr>
                        <w:t>4</w:t>
                      </w:r>
                      <w:r>
                        <w:rPr>
                          <w:rFonts w:eastAsia="黑体"/>
                          <w:kern w:val="0"/>
                          <w:sz w:val="28"/>
                          <w:szCs w:val="30"/>
                        </w:rPr>
                        <w:t xml:space="preserve">  “双十”工程</w:t>
                      </w:r>
                    </w:p>
                    <w:p w14:paraId="6A0C2094">
                      <w:pPr>
                        <w:widowControl/>
                        <w:adjustRightInd w:val="0"/>
                        <w:snapToGrid w:val="0"/>
                        <w:spacing w:line="400" w:lineRule="exact"/>
                        <w:ind w:firstLine="422" w:firstLineChars="200"/>
                        <w:jc w:val="left"/>
                        <w:rPr>
                          <w:rFonts w:ascii="宋体" w:hAnsi="宋体"/>
                          <w:b/>
                          <w:bCs/>
                        </w:rPr>
                      </w:pPr>
                      <w:r>
                        <w:rPr>
                          <w:rFonts w:ascii="宋体" w:hAnsi="宋体"/>
                          <w:b/>
                          <w:bCs/>
                        </w:rPr>
                        <w:t>十大经济工程：</w:t>
                      </w:r>
                      <w:r>
                        <w:rPr>
                          <w:rFonts w:ascii="宋体" w:hAnsi="宋体"/>
                        </w:rPr>
                        <w:t>1、黑咀子现代商务区建设工程；2、东关街旧城区改造工程；3、高尔基路-凤鸣街</w:t>
                      </w:r>
                      <w:r>
                        <w:rPr>
                          <w:rFonts w:hint="eastAsia" w:ascii="宋体" w:hAnsi="宋体"/>
                        </w:rPr>
                        <w:t>地块改造工程</w:t>
                      </w:r>
                      <w:r>
                        <w:rPr>
                          <w:rFonts w:ascii="宋体" w:hAnsi="宋体"/>
                        </w:rPr>
                        <w:t>；4、原市政总公司地块商务总部建设工程；5、工业设计园创建工程；6</w:t>
                      </w:r>
                      <w:r>
                        <w:rPr>
                          <w:rFonts w:hint="eastAsia" w:ascii="宋体" w:hAnsi="宋体"/>
                        </w:rPr>
                        <w:t>、香炉礁国际商贸物流区功能提升工程</w:t>
                      </w:r>
                      <w:r>
                        <w:rPr>
                          <w:rFonts w:ascii="宋体" w:hAnsi="宋体"/>
                        </w:rPr>
                        <w:t>；7、</w:t>
                      </w:r>
                      <w:r>
                        <w:rPr>
                          <w:rFonts w:hint="eastAsia" w:ascii="宋体" w:hAnsi="宋体"/>
                        </w:rPr>
                        <w:t>傅家庄海岸线功能优化</w:t>
                      </w:r>
                      <w:r>
                        <w:rPr>
                          <w:rFonts w:ascii="宋体" w:hAnsi="宋体"/>
                        </w:rPr>
                        <w:t>工程；8、一二九街总部基地建设工程；9、</w:t>
                      </w:r>
                      <w:r>
                        <w:rPr>
                          <w:rFonts w:hint="eastAsia" w:ascii="宋体" w:hAnsi="宋体"/>
                        </w:rPr>
                        <w:t>站北商圈业态升级工程</w:t>
                      </w:r>
                      <w:r>
                        <w:rPr>
                          <w:rFonts w:ascii="宋体" w:hAnsi="宋体"/>
                        </w:rPr>
                        <w:t>；10、“双创”</w:t>
                      </w:r>
                      <w:r>
                        <w:rPr>
                          <w:rFonts w:hint="eastAsia" w:ascii="宋体" w:hAnsi="宋体"/>
                        </w:rPr>
                        <w:t>空间</w:t>
                      </w:r>
                      <w:r>
                        <w:rPr>
                          <w:rFonts w:ascii="宋体" w:hAnsi="宋体"/>
                        </w:rPr>
                        <w:t>创建工程。</w:t>
                      </w:r>
                    </w:p>
                    <w:p w14:paraId="06754A2A">
                      <w:pPr>
                        <w:widowControl/>
                        <w:adjustRightInd w:val="0"/>
                        <w:snapToGrid w:val="0"/>
                        <w:spacing w:before="156" w:beforeLines="50" w:line="400" w:lineRule="exact"/>
                        <w:ind w:firstLine="422" w:firstLineChars="200"/>
                        <w:jc w:val="left"/>
                        <w:rPr>
                          <w:rFonts w:ascii="宋体" w:hAnsi="宋体"/>
                          <w:b/>
                          <w:bCs/>
                        </w:rPr>
                      </w:pPr>
                      <w:r>
                        <w:rPr>
                          <w:rFonts w:ascii="宋体" w:hAnsi="宋体"/>
                          <w:b/>
                          <w:bCs/>
                        </w:rPr>
                        <w:t>十大民生工程：</w:t>
                      </w:r>
                      <w:r>
                        <w:rPr>
                          <w:rFonts w:hint="eastAsia" w:ascii="宋体" w:hAnsi="宋体"/>
                        </w:rPr>
                        <w:t>1、教育基础设施提升工程；2、品牌社区建设工程；3、现代养老服务建设工程；4、“暖房子”工程；5、公共停车场建设工程；6、山体公园建设工程；7、健康社区服务创星工程；8、食品安全放心示范区创建工程；9、文化惠民共享工程；10、365公共行政服务中心提升工程。</w:t>
                      </w:r>
                    </w:p>
                  </w:txbxContent>
                </v:textbox>
                <w10:wrap type="none"/>
                <w10:anchorlock/>
              </v:shape>
            </w:pict>
          </mc:Fallback>
        </mc:AlternateContent>
      </w:r>
    </w:p>
    <w:p w14:paraId="5B26CA12">
      <w:pPr>
        <w:adjustRightInd w:val="0"/>
        <w:spacing w:before="468" w:beforeLines="150" w:after="156" w:afterLines="50" w:line="600" w:lineRule="exact"/>
        <w:jc w:val="center"/>
        <w:outlineLvl w:val="0"/>
        <w:rPr>
          <w:rFonts w:hint="eastAsia" w:ascii="黑体" w:hAnsi="黑体" w:eastAsia="黑体"/>
          <w:sz w:val="34"/>
          <w:szCs w:val="34"/>
        </w:rPr>
      </w:pPr>
      <w:bookmarkStart w:id="19" w:name="_Toc439276689"/>
      <w:bookmarkStart w:id="20" w:name="_Toc433958806"/>
      <w:r>
        <w:rPr>
          <w:rFonts w:hint="eastAsia" w:ascii="黑体" w:hAnsi="黑体" w:eastAsia="黑体"/>
          <w:sz w:val="34"/>
          <w:szCs w:val="34"/>
        </w:rPr>
        <w:t>第三章</w:t>
      </w:r>
      <w:bookmarkStart w:id="21" w:name="_Toc434498992"/>
      <w:r>
        <w:rPr>
          <w:rFonts w:hint="eastAsia" w:ascii="黑体" w:hAnsi="黑体" w:eastAsia="黑体"/>
          <w:sz w:val="34"/>
          <w:szCs w:val="34"/>
        </w:rPr>
        <w:t xml:space="preserve">  创新引领城区经济发展</w:t>
      </w:r>
      <w:bookmarkEnd w:id="19"/>
      <w:bookmarkEnd w:id="21"/>
    </w:p>
    <w:p w14:paraId="34C9B0D6">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坚持将创新作为引领城区发展的第一动力。深化体制机制创新，营造一流创新创业环境，强化企业创新主体地位，优化资本、技术、人才等要素配置，打造大连市创新创业高地。</w:t>
      </w:r>
    </w:p>
    <w:p w14:paraId="7B1FB287">
      <w:pPr>
        <w:adjustRightInd w:val="0"/>
        <w:spacing w:line="600" w:lineRule="exact"/>
        <w:ind w:firstLine="680" w:firstLineChars="200"/>
        <w:outlineLvl w:val="1"/>
        <w:rPr>
          <w:rFonts w:hint="eastAsia" w:ascii="黑体" w:hAnsi="黑体" w:eastAsia="黑体"/>
          <w:kern w:val="0"/>
          <w:sz w:val="34"/>
          <w:szCs w:val="34"/>
        </w:rPr>
      </w:pPr>
      <w:bookmarkStart w:id="22" w:name="_Toc439276690"/>
      <w:r>
        <w:rPr>
          <w:rFonts w:hint="eastAsia" w:ascii="黑体" w:hAnsi="黑体" w:eastAsia="黑体"/>
          <w:kern w:val="0"/>
          <w:sz w:val="34"/>
          <w:szCs w:val="34"/>
        </w:rPr>
        <w:t>一、营造创新创业环境</w:t>
      </w:r>
      <w:bookmarkEnd w:id="22"/>
    </w:p>
    <w:p w14:paraId="194D8496">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制定出台支持企业技术创新的配套政策，引导企业和社会增加研发投入。加大知识产权保护力度，健全维权援助机制。营造“鼓励创新、宽容失败”的创业文化氛围，激发调动全社会创业激情。构建支持创业的制度体系和公共服务体系，强化创业扶持，推动大众创业。打造一体化创新服务链，在设计、研发、检测、新技术推广等环节对创新企业进行扶持。完善创新与资本对接机制，支持股权投资基金的设立和运营，吸引境内外股权投资、创业投资机构聚集发展。设立科技型中小企业技术创新基金、投资引导基金，实施新兴产业创投计划和中小企业创新能力建设计划。</w:t>
      </w:r>
    </w:p>
    <w:p w14:paraId="27FFB356">
      <w:pPr>
        <w:adjustRightInd w:val="0"/>
        <w:spacing w:line="600" w:lineRule="exact"/>
        <w:ind w:firstLine="680" w:firstLineChars="200"/>
        <w:outlineLvl w:val="1"/>
        <w:rPr>
          <w:rFonts w:hint="eastAsia" w:ascii="黑体" w:hAnsi="黑体" w:eastAsia="黑体"/>
          <w:kern w:val="0"/>
          <w:sz w:val="34"/>
          <w:szCs w:val="34"/>
        </w:rPr>
      </w:pPr>
      <w:bookmarkStart w:id="23" w:name="_Toc439276691"/>
      <w:r>
        <w:rPr>
          <w:rFonts w:hint="eastAsia" w:ascii="黑体" w:hAnsi="黑体" w:eastAsia="黑体"/>
          <w:kern w:val="0"/>
          <w:sz w:val="34"/>
          <w:szCs w:val="34"/>
        </w:rPr>
        <w:t>二、激发创新主体活力</w:t>
      </w:r>
      <w:bookmarkEnd w:id="23"/>
    </w:p>
    <w:p w14:paraId="1CF58526">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鼓励企业围绕市场需求和自身发展，建立研发机构。完善创新体系，引导企业开展技术创新、模式创新和管理创新，形成核心技术和专有技术。完善科技创新资金分配、科技成果转化激励等制度，促进创新成果产业化。大力培育科技型中小企业，支持中小企业技术创新和改造升级。推进中小企业信息化发展。鼓励科技企业债券融资，支持科技企业境内外上市融资。发展以企业为主导的产业技术创新战略联盟，支持企业与科研院所、高等学校签订战略合作协议，建立联合开发、优势互补、成果共享、风险共担的产学研用合作机制，将自主开发和联合研发有机结合。</w:t>
      </w:r>
    </w:p>
    <w:p w14:paraId="193F255A">
      <w:pPr>
        <w:adjustRightInd w:val="0"/>
        <w:spacing w:line="600" w:lineRule="exact"/>
        <w:ind w:firstLine="680" w:firstLineChars="200"/>
        <w:outlineLvl w:val="1"/>
        <w:rPr>
          <w:rFonts w:hint="eastAsia" w:ascii="黑体" w:hAnsi="黑体" w:eastAsia="黑体"/>
          <w:kern w:val="0"/>
          <w:sz w:val="34"/>
          <w:szCs w:val="34"/>
        </w:rPr>
      </w:pPr>
      <w:bookmarkStart w:id="24" w:name="_Toc439276692"/>
      <w:r>
        <w:rPr>
          <w:rFonts w:hint="eastAsia" w:ascii="黑体" w:hAnsi="黑体" w:eastAsia="黑体"/>
          <w:kern w:val="0"/>
          <w:sz w:val="34"/>
          <w:szCs w:val="34"/>
        </w:rPr>
        <w:t>三、搭建创新创业载体</w:t>
      </w:r>
      <w:bookmarkEnd w:id="24"/>
    </w:p>
    <w:p w14:paraId="2777D851">
      <w:pPr>
        <w:adjustRightInd w:val="0"/>
        <w:snapToGri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建立开放式创新创业综合服务平台，提供政策咨询、项目对接、综合协调等服务。加强创业孵化平台建设。鼓励发展众创、众包、众扶、众筹等创业服务平台。优化服务功能，完善运营机制，建设承载力强、功能健全、服务规范的区域性创新创业孵化平台。新建或利用现有场地资源，盘活仪器设备，创新孵化模式，建设低成本、便利化、开放式的新型创业孵化平台。倡导企业及其他社会力量建立和开放创新创业平台。推动工业设计、节能环保等专业技术领域创新平台建设。发展天使、创业、产业等投资形式，鼓励社会资金参与创业投资。深入推进城区智慧化建设，强化智慧成果的融合对接和推广应用，提升基础设施和公共事务服务管理智慧化水平。</w:t>
      </w:r>
    </w:p>
    <w:p w14:paraId="2D88CDB4">
      <w:pPr>
        <w:adjustRightInd w:val="0"/>
        <w:snapToGrid w:val="0"/>
        <w:spacing w:line="600" w:lineRule="exact"/>
        <w:ind w:firstLine="680" w:firstLineChars="200"/>
        <w:outlineLvl w:val="1"/>
        <w:rPr>
          <w:rFonts w:hint="eastAsia" w:ascii="黑体" w:hAnsi="黑体" w:eastAsia="黑体"/>
          <w:kern w:val="0"/>
          <w:sz w:val="34"/>
          <w:szCs w:val="34"/>
        </w:rPr>
      </w:pPr>
      <w:bookmarkStart w:id="25" w:name="_Toc434499023"/>
      <w:bookmarkStart w:id="26" w:name="_Toc433361929"/>
      <w:bookmarkStart w:id="27" w:name="_Toc439276693"/>
      <w:r>
        <w:rPr>
          <w:rFonts w:hint="eastAsia" w:ascii="黑体" w:hAnsi="黑体" w:eastAsia="黑体"/>
          <w:kern w:val="0"/>
          <w:sz w:val="34"/>
          <w:szCs w:val="34"/>
        </w:rPr>
        <w:t>四</w:t>
      </w:r>
      <w:bookmarkEnd w:id="25"/>
      <w:bookmarkEnd w:id="26"/>
      <w:r>
        <w:rPr>
          <w:rFonts w:hint="eastAsia" w:ascii="黑体" w:hAnsi="黑体" w:eastAsia="黑体"/>
          <w:kern w:val="0"/>
          <w:sz w:val="34"/>
          <w:szCs w:val="34"/>
        </w:rPr>
        <w:t>、建设创新人才队伍</w:t>
      </w:r>
      <w:bookmarkEnd w:id="27"/>
    </w:p>
    <w:p w14:paraId="2AA98C99">
      <w:pPr>
        <w:adjustRightInd w:val="0"/>
        <w:snapToGri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树立人才是创新驱动核心要素的理念，营造尊重人才、善用人才的发展氛围。以大连市“5+22”人才新政为导向，加大人才引进和培养力度。积极参加“海创周”等引才纳智平台，拓展“政校企”招聘协作，支持社会力量引才荐才，全方位拓展人才引进渠道。实施人才素质提升工程，建立开放的人才培训体系，加强重点产业急需紧缺技能人才培训。完善人才“一站式”服务，协调解决各类人才住房、医疗、子女入学等现实问题，营造高效、便利的人才服务环境。创新人才激励机制，鼓励智力要素和技术要素参与创新收益分配。</w:t>
      </w:r>
    </w:p>
    <w:p w14:paraId="15FE1842">
      <w:pPr>
        <w:adjustRightInd w:val="0"/>
        <w:spacing w:before="468" w:beforeLines="150" w:after="156" w:afterLines="50" w:line="600" w:lineRule="exact"/>
        <w:jc w:val="center"/>
        <w:outlineLvl w:val="0"/>
        <w:rPr>
          <w:rFonts w:hint="eastAsia" w:ascii="黑体" w:hAnsi="黑体" w:eastAsia="黑体"/>
          <w:sz w:val="34"/>
          <w:szCs w:val="34"/>
        </w:rPr>
      </w:pPr>
      <w:bookmarkStart w:id="28" w:name="_Toc439276694"/>
      <w:r>
        <w:rPr>
          <w:rFonts w:hint="eastAsia" w:ascii="黑体" w:hAnsi="黑体" w:eastAsia="黑体"/>
          <w:sz w:val="34"/>
          <w:szCs w:val="34"/>
        </w:rPr>
        <w:t>第四章  优化提升城区空间功能布局</w:t>
      </w:r>
      <w:bookmarkEnd w:id="28"/>
    </w:p>
    <w:p w14:paraId="27759149">
      <w:pPr>
        <w:adjustRightInd w:val="0"/>
        <w:snapToGrid w:val="0"/>
        <w:spacing w:line="600" w:lineRule="exact"/>
        <w:ind w:firstLine="680" w:firstLineChars="200"/>
        <w:rPr>
          <w:rFonts w:hint="eastAsia" w:ascii="仿宋_GB2312" w:eastAsia="仿宋_GB2312"/>
          <w:sz w:val="34"/>
          <w:szCs w:val="34"/>
        </w:rPr>
      </w:pPr>
      <w:bookmarkStart w:id="29" w:name="_Toc434499003"/>
      <w:r>
        <w:rPr>
          <w:rFonts w:hint="eastAsia" w:ascii="仿宋_GB2312" w:eastAsia="仿宋_GB2312"/>
          <w:sz w:val="34"/>
          <w:szCs w:val="34"/>
        </w:rPr>
        <w:t>以功能融入、产业融入、环境融入和人文融入为导向，坚持全域谋划，全力整合城区发展资源，优化存量，做强增量，联动发展一轴，重点建设六区，推动城区经济社会高效发展，实现与大连全域发展的全面对接和深度融合。</w:t>
      </w:r>
    </w:p>
    <w:p w14:paraId="07817495">
      <w:pPr>
        <w:adjustRightInd w:val="0"/>
        <w:snapToGrid w:val="0"/>
        <w:spacing w:line="600" w:lineRule="exact"/>
        <w:ind w:firstLine="680" w:firstLineChars="200"/>
        <w:rPr>
          <w:rFonts w:hint="eastAsia" w:ascii="仿宋_GB2312" w:eastAsia="仿宋_GB2312"/>
          <w:sz w:val="34"/>
          <w:szCs w:val="34"/>
        </w:rPr>
      </w:pPr>
    </w:p>
    <w:p w14:paraId="0B53C741">
      <w:pPr>
        <w:adjustRightInd w:val="0"/>
        <w:snapToGrid w:val="0"/>
        <w:spacing w:line="600" w:lineRule="exact"/>
        <w:ind w:firstLine="680" w:firstLineChars="200"/>
        <w:rPr>
          <w:rFonts w:hint="eastAsia" w:ascii="仿宋_GB2312" w:eastAsia="仿宋_GB2312"/>
          <w:sz w:val="34"/>
          <w:szCs w:val="34"/>
        </w:rPr>
      </w:pPr>
    </w:p>
    <w:p w14:paraId="1134EEB4">
      <w:pPr>
        <w:adjustRightInd w:val="0"/>
        <w:snapToGrid w:val="0"/>
        <w:spacing w:line="600" w:lineRule="exact"/>
        <w:ind w:firstLine="680" w:firstLineChars="200"/>
        <w:rPr>
          <w:rFonts w:hint="eastAsia" w:ascii="仿宋_GB2312" w:eastAsia="仿宋_GB2312"/>
          <w:sz w:val="34"/>
          <w:szCs w:val="34"/>
        </w:rPr>
      </w:pPr>
    </w:p>
    <w:p w14:paraId="14E30897">
      <w:pPr>
        <w:adjustRightInd w:val="0"/>
        <w:snapToGrid w:val="0"/>
        <w:spacing w:line="600" w:lineRule="exact"/>
        <w:ind w:firstLine="680" w:firstLineChars="200"/>
        <w:rPr>
          <w:rFonts w:hint="eastAsia" w:ascii="仿宋_GB2312" w:eastAsia="仿宋_GB2312"/>
          <w:sz w:val="34"/>
          <w:szCs w:val="34"/>
        </w:rPr>
      </w:pPr>
    </w:p>
    <w:p w14:paraId="0480C62F">
      <w:pPr>
        <w:adjustRightInd w:val="0"/>
        <w:snapToGrid w:val="0"/>
        <w:spacing w:line="600" w:lineRule="exact"/>
        <w:ind w:firstLine="680" w:firstLineChars="200"/>
        <w:rPr>
          <w:rFonts w:hint="eastAsia" w:ascii="仿宋_GB2312" w:eastAsia="仿宋_GB2312"/>
          <w:sz w:val="34"/>
          <w:szCs w:val="34"/>
        </w:rPr>
      </w:pPr>
    </w:p>
    <w:p w14:paraId="29797784">
      <w:pPr>
        <w:adjustRightInd w:val="0"/>
        <w:snapToGrid w:val="0"/>
        <w:spacing w:line="600" w:lineRule="exact"/>
        <w:ind w:firstLine="680" w:firstLineChars="200"/>
        <w:rPr>
          <w:rFonts w:hint="eastAsia" w:ascii="仿宋_GB2312" w:eastAsia="仿宋_GB2312"/>
          <w:sz w:val="34"/>
          <w:szCs w:val="34"/>
        </w:rPr>
      </w:pPr>
    </w:p>
    <w:p w14:paraId="345AA017">
      <w:pPr>
        <w:adjustRightInd w:val="0"/>
        <w:snapToGrid w:val="0"/>
        <w:spacing w:line="600" w:lineRule="exact"/>
        <w:ind w:firstLine="680" w:firstLineChars="200"/>
        <w:rPr>
          <w:rFonts w:hint="eastAsia" w:ascii="仿宋_GB2312" w:eastAsia="仿宋_GB2312"/>
          <w:sz w:val="34"/>
          <w:szCs w:val="34"/>
        </w:rPr>
      </w:pPr>
    </w:p>
    <w:p w14:paraId="4CC12A80">
      <w:pPr>
        <w:adjustRightInd w:val="0"/>
        <w:snapToGrid w:val="0"/>
        <w:spacing w:line="600" w:lineRule="exact"/>
        <w:rPr>
          <w:rFonts w:hint="eastAsia" w:ascii="仿宋_GB2312" w:eastAsia="仿宋_GB2312"/>
          <w:sz w:val="34"/>
          <w:szCs w:val="34"/>
        </w:rPr>
      </w:pPr>
    </w:p>
    <w:p w14:paraId="2B5EADDD">
      <w:pPr>
        <w:adjustRightInd w:val="0"/>
        <w:spacing w:line="600" w:lineRule="exact"/>
        <w:rPr>
          <w:rFonts w:hint="eastAsia"/>
        </w:rPr>
      </w:pPr>
      <w:r>
        <w:rPr>
          <w:lang/>
        </w:rPr>
        <w:drawing>
          <wp:anchor distT="0" distB="0" distL="114300" distR="114300" simplePos="0" relativeHeight="251670528" behindDoc="0" locked="0" layoutInCell="1" allowOverlap="1">
            <wp:simplePos x="0" y="0"/>
            <wp:positionH relativeFrom="column">
              <wp:posOffset>0</wp:posOffset>
            </wp:positionH>
            <wp:positionV relativeFrom="paragraph">
              <wp:posOffset>-396240</wp:posOffset>
            </wp:positionV>
            <wp:extent cx="5505450" cy="8648700"/>
            <wp:effectExtent l="0" t="0" r="0" b="0"/>
            <wp:wrapSquare wrapText="bothSides"/>
            <wp:docPr id="12" name="图片 18" descr="一轴六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一轴六区12"/>
                    <pic:cNvPicPr>
                      <a:picLocks noChangeAspect="1"/>
                    </pic:cNvPicPr>
                  </pic:nvPicPr>
                  <pic:blipFill>
                    <a:blip r:embed="rId7"/>
                    <a:stretch>
                      <a:fillRect/>
                    </a:stretch>
                  </pic:blipFill>
                  <pic:spPr>
                    <a:xfrm>
                      <a:off x="0" y="0"/>
                      <a:ext cx="5505450" cy="8648700"/>
                    </a:xfrm>
                    <a:prstGeom prst="rect">
                      <a:avLst/>
                    </a:prstGeom>
                    <a:noFill/>
                    <a:ln>
                      <a:noFill/>
                    </a:ln>
                  </pic:spPr>
                </pic:pic>
              </a:graphicData>
            </a:graphic>
          </wp:anchor>
        </w:drawing>
      </w:r>
    </w:p>
    <w:p w14:paraId="30285311">
      <w:pPr>
        <w:adjustRightInd w:val="0"/>
        <w:spacing w:line="600" w:lineRule="exact"/>
        <w:ind w:firstLine="680" w:firstLineChars="200"/>
        <w:outlineLvl w:val="1"/>
        <w:rPr>
          <w:rFonts w:hint="eastAsia" w:ascii="黑体" w:hAnsi="黑体" w:eastAsia="黑体"/>
          <w:kern w:val="0"/>
          <w:sz w:val="34"/>
          <w:szCs w:val="34"/>
        </w:rPr>
      </w:pPr>
      <w:bookmarkStart w:id="30" w:name="_Toc439276695"/>
      <w:bookmarkStart w:id="31" w:name="_Toc438036581"/>
      <w:r>
        <w:rPr>
          <w:rFonts w:hint="eastAsia" w:ascii="黑体" w:hAnsi="黑体" w:eastAsia="黑体"/>
          <w:kern w:val="0"/>
          <w:sz w:val="34"/>
          <w:szCs w:val="34"/>
        </w:rPr>
        <w:t>一、联动发展一轴</w:t>
      </w:r>
      <w:bookmarkEnd w:id="30"/>
    </w:p>
    <w:p w14:paraId="4E40F0A1">
      <w:pPr>
        <w:adjustRightInd w:val="0"/>
        <w:snapToGri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一轴”是指长春路及八一路经济发展轴。重点推动健康服务业发展，建立覆盖沿线区域、内涵丰富、结构合理的健康养老服务体系，支持与现代商贸、电子商务、智力服务等产业融合发展。向北联动香炉礁和站北区域，推动健康休闲、商贸物流、海珍营养品、文化旅游产业互动发展。中部依托商圈经济和地铁经济效应，发挥医疗健康服务机构集聚优势，引进健康服务知名企业和品牌，整合健康消费和教育培训资源，培育医疗保健、养生美容、医疗器械、健康文化等产业，推进健康服务和现代商贸双核驱动发展。向南联动傅家庄区域，聚合山海旅游和商务楼宇资源，加快培育养生养老、健康旅游、电子商务等产业，促进多板块协同发展。营造宜养、宜创、宜乐、宜居的多元生态环境，形成多点发力、全线联动的发展格局，打造产、城、人融合的经济发展轴线。</w:t>
      </w:r>
    </w:p>
    <w:bookmarkEnd w:id="31"/>
    <w:p w14:paraId="4CE23A9B">
      <w:pPr>
        <w:adjustRightInd w:val="0"/>
        <w:spacing w:line="600" w:lineRule="exact"/>
        <w:ind w:firstLine="680" w:firstLineChars="200"/>
        <w:outlineLvl w:val="1"/>
        <w:rPr>
          <w:rFonts w:hint="eastAsia" w:ascii="黑体" w:hAnsi="黑体" w:eastAsia="黑体"/>
          <w:kern w:val="0"/>
          <w:sz w:val="34"/>
          <w:szCs w:val="34"/>
        </w:rPr>
      </w:pPr>
      <w:bookmarkStart w:id="32" w:name="_Toc438036582"/>
      <w:bookmarkStart w:id="33" w:name="_Toc439276696"/>
      <w:r>
        <w:rPr>
          <w:rFonts w:hint="eastAsia" w:ascii="黑体" w:hAnsi="黑体" w:eastAsia="黑体"/>
          <w:kern w:val="0"/>
          <w:sz w:val="34"/>
          <w:szCs w:val="34"/>
        </w:rPr>
        <w:t>二、</w:t>
      </w:r>
      <w:bookmarkEnd w:id="32"/>
      <w:bookmarkStart w:id="34" w:name="_Toc438036583"/>
      <w:r>
        <w:rPr>
          <w:rFonts w:hint="eastAsia" w:ascii="黑体" w:hAnsi="黑体" w:eastAsia="黑体"/>
          <w:kern w:val="0"/>
          <w:sz w:val="34"/>
          <w:szCs w:val="34"/>
        </w:rPr>
        <w:t>重点建设六区</w:t>
      </w:r>
      <w:bookmarkEnd w:id="33"/>
      <w:bookmarkEnd w:id="34"/>
    </w:p>
    <w:p w14:paraId="0443C0F8">
      <w:pPr>
        <w:adjustRightInd w:val="0"/>
        <w:spacing w:line="600" w:lineRule="exact"/>
        <w:ind w:firstLine="680" w:firstLineChars="200"/>
        <w:rPr>
          <w:rFonts w:hint="eastAsia" w:ascii="仿宋_GB2312" w:eastAsia="仿宋_GB2312"/>
          <w:kern w:val="0"/>
          <w:sz w:val="34"/>
          <w:szCs w:val="34"/>
        </w:rPr>
      </w:pPr>
      <w:r>
        <w:rPr>
          <w:rFonts w:hint="eastAsia" w:ascii="仿宋_GB2312" w:eastAsia="仿宋_GB2312"/>
          <w:sz w:val="34"/>
          <w:szCs w:val="34"/>
        </w:rPr>
        <w:t>“六区”是指站北商贸商务文化区、香炉礁国际商贸物流区、新开路金融商业区、一二九街国际商务区、奥林匹克现代商业区、傅家庄休闲旅游商务区。坚持特色发展与内涵提升并重，以重点项目建设为牵动，推动产业融合发展。</w:t>
      </w:r>
    </w:p>
    <w:p w14:paraId="5BA11D2D">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站北商贸商务文化区</w:t>
      </w:r>
      <w:r>
        <w:rPr>
          <w:rFonts w:hint="eastAsia" w:ascii="楷体_GB2312" w:eastAsia="楷体_GB2312"/>
          <w:sz w:val="34"/>
          <w:szCs w:val="34"/>
        </w:rPr>
        <w:t>：</w:t>
      </w:r>
      <w:r>
        <w:rPr>
          <w:rFonts w:hint="eastAsia" w:ascii="仿宋_GB2312" w:eastAsia="仿宋_GB2312"/>
          <w:sz w:val="34"/>
          <w:szCs w:val="34"/>
        </w:rPr>
        <w:t>突出发展现代商务、特色商贸业。推进黑咀子码头及周边地块改造项目，建设高端化现代商务区。提升改造站北地区经营业态、管理模式和文化商业设施，在双兴商品城及周边区域引进新兴商业。整合团结街周边区域资源，发展俄罗斯文化特色产业，推动自然博物馆及周边改造。打造大连市国际化商贸商务新兴区和文化旅游区。</w:t>
      </w:r>
    </w:p>
    <w:p w14:paraId="3FC78CEB">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香炉礁国际商贸物流区</w:t>
      </w:r>
      <w:r>
        <w:rPr>
          <w:rFonts w:hint="eastAsia" w:ascii="楷体_GB2312" w:eastAsia="楷体_GB2312"/>
          <w:sz w:val="34"/>
          <w:szCs w:val="34"/>
        </w:rPr>
        <w:t>：</w:t>
      </w:r>
      <w:r>
        <w:rPr>
          <w:rFonts w:hint="eastAsia" w:ascii="仿宋_GB2312" w:eastAsia="仿宋_GB2312"/>
          <w:sz w:val="34"/>
          <w:szCs w:val="34"/>
        </w:rPr>
        <w:t>重点发展现代商务、商贸物流业。完善园区公共服务设施，提升诚信经营和运营管理水平，发展共同配送，增强园区的服务、集聚与辐射能力。加快推进旧货市场地块改造、新海航运码头及周边地块改造，做大商贸物流发展平台，提升园区影响力。发挥龙头企业带动作用，以供应链集聚推动产业集聚。打造大连市重要的国际商贸物流集聚区。</w:t>
      </w:r>
    </w:p>
    <w:p w14:paraId="1052A9B3">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新开路金融商业区</w:t>
      </w:r>
      <w:r>
        <w:rPr>
          <w:rFonts w:hint="eastAsia" w:ascii="楷体_GB2312" w:eastAsia="楷体_GB2312"/>
          <w:sz w:val="34"/>
          <w:szCs w:val="34"/>
        </w:rPr>
        <w:t>：</w:t>
      </w:r>
      <w:r>
        <w:rPr>
          <w:rFonts w:hint="eastAsia" w:ascii="仿宋_GB2312" w:eastAsia="仿宋_GB2312"/>
          <w:sz w:val="34"/>
          <w:szCs w:val="34"/>
        </w:rPr>
        <w:t>重点发展金融服务业和现代商贸业。发挥西岗PE万达大厦的牵动示范作用，对新开路区域楼宇进行品牌化定位和专业化改造，形成专业品牌大厦群。提升周边道路交通、停车场等配套服务设施。加快推进东关街旧城区改造，建设主题商贸旅游综合体。打造大连市特色文化商业区和东北地区非银行资本集聚区。</w:t>
      </w:r>
    </w:p>
    <w:p w14:paraId="0CBD4AF3">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一二九街国际商务区</w:t>
      </w:r>
      <w:r>
        <w:rPr>
          <w:rFonts w:hint="eastAsia" w:ascii="楷体_GB2312" w:eastAsia="楷体_GB2312"/>
          <w:sz w:val="34"/>
          <w:szCs w:val="34"/>
        </w:rPr>
        <w:t>：</w:t>
      </w:r>
      <w:r>
        <w:rPr>
          <w:rFonts w:hint="eastAsia" w:ascii="仿宋_GB2312" w:eastAsia="仿宋_GB2312"/>
          <w:sz w:val="34"/>
          <w:szCs w:val="34"/>
        </w:rPr>
        <w:t>重点发展现代商务服务业。整体规划理工大学化工学院和化物所周边地块，与国际级企业合作，建设高端化、专业化、智能化商务综合体。引进公共服务机构，打造企业管理咨询服务、技术研发服务等产业服务平台。打造大连市具有国际服务水准的一站式总部商务区。</w:t>
      </w:r>
    </w:p>
    <w:p w14:paraId="7782C037">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奥林匹克现代商业区</w:t>
      </w:r>
      <w:r>
        <w:rPr>
          <w:rFonts w:hint="eastAsia" w:ascii="楷体_GB2312" w:eastAsia="楷体_GB2312"/>
          <w:sz w:val="34"/>
          <w:szCs w:val="34"/>
        </w:rPr>
        <w:t>：</w:t>
      </w:r>
      <w:r>
        <w:rPr>
          <w:rFonts w:hint="eastAsia" w:ascii="仿宋_GB2312" w:eastAsia="仿宋_GB2312"/>
          <w:sz w:val="34"/>
          <w:szCs w:val="34"/>
        </w:rPr>
        <w:t>重点发展现代商贸业。以大连恒隆广场为主体，整合提升现有商业业态，实施奥林匹克广场升级改造和地铁连接通道等基础配套工程。高标准规划和建设高尔基路-凤鸣街地块改造项目，优化胜利路沿线商业布局，整体提升商业档次和水准。打造大连市重要的现代化商业中心。</w:t>
      </w:r>
    </w:p>
    <w:p w14:paraId="6B9260D8">
      <w:pPr>
        <w:adjustRightInd w:val="0"/>
        <w:spacing w:line="600" w:lineRule="exact"/>
        <w:ind w:firstLine="683" w:firstLineChars="200"/>
        <w:jc w:val="left"/>
        <w:rPr>
          <w:rFonts w:hint="eastAsia" w:ascii="仿宋_GB2312" w:eastAsia="仿宋_GB2312"/>
          <w:sz w:val="34"/>
          <w:szCs w:val="34"/>
        </w:rPr>
      </w:pPr>
      <w:r>
        <w:rPr>
          <w:rFonts w:hint="eastAsia" w:ascii="楷体_GB2312" w:eastAsia="楷体_GB2312"/>
          <w:b/>
          <w:bCs/>
          <w:sz w:val="34"/>
          <w:szCs w:val="34"/>
        </w:rPr>
        <w:t>傅家庄休闲旅游商务区</w:t>
      </w:r>
      <w:r>
        <w:rPr>
          <w:rFonts w:hint="eastAsia" w:ascii="楷体_GB2312" w:eastAsia="楷体_GB2312"/>
          <w:sz w:val="34"/>
          <w:szCs w:val="34"/>
        </w:rPr>
        <w:t>：</w:t>
      </w:r>
      <w:r>
        <w:rPr>
          <w:rFonts w:hint="eastAsia" w:ascii="仿宋_GB2312" w:eastAsia="仿宋_GB2312"/>
          <w:sz w:val="34"/>
          <w:szCs w:val="34"/>
        </w:rPr>
        <w:t>重点发展现代旅游、健康服务和商务服务业。启动水产研究所周边地块改造，建设集文化、旅游、休闲、健康于一体的高端旅游综合体，提升南部滨海岸线功能。依托酒店和培训机构集聚优势，加大楼宇改造力度，拓展商务服务业承载空间。积极发展健康服务业。打造大连市具有现代都市特点的健康旅游休闲区和高端总部聚集地。</w:t>
      </w:r>
    </w:p>
    <w:bookmarkEnd w:id="20"/>
    <w:bookmarkEnd w:id="29"/>
    <w:p w14:paraId="578DD08B">
      <w:pPr>
        <w:adjustRightInd w:val="0"/>
        <w:spacing w:line="600" w:lineRule="exact"/>
        <w:jc w:val="center"/>
        <w:rPr>
          <w:rFonts w:hint="eastAsia" w:ascii="黑体" w:eastAsia="黑体" w:cs="黑体"/>
          <w:sz w:val="28"/>
          <w:szCs w:val="30"/>
        </w:rPr>
      </w:pPr>
      <w:bookmarkStart w:id="35" w:name="_Toc438036584"/>
      <w:bookmarkStart w:id="36" w:name="_Toc434499000"/>
      <w:bookmarkStart w:id="37" w:name="_Toc434499017"/>
    </w:p>
    <w:p w14:paraId="61571864">
      <w:pPr>
        <w:adjustRightInd w:val="0"/>
        <w:spacing w:line="600" w:lineRule="exact"/>
        <w:jc w:val="center"/>
        <w:rPr>
          <w:rFonts w:hint="eastAsia" w:ascii="黑体" w:eastAsia="黑体" w:cs="黑体"/>
          <w:sz w:val="28"/>
          <w:szCs w:val="30"/>
        </w:rPr>
      </w:pPr>
    </w:p>
    <w:p w14:paraId="14DABDC7">
      <w:pPr>
        <w:adjustRightInd w:val="0"/>
        <w:spacing w:line="600" w:lineRule="exact"/>
        <w:jc w:val="center"/>
        <w:rPr>
          <w:rFonts w:hint="eastAsia" w:ascii="黑体" w:eastAsia="黑体" w:cs="黑体"/>
          <w:sz w:val="28"/>
          <w:szCs w:val="30"/>
        </w:rPr>
      </w:pPr>
    </w:p>
    <w:p w14:paraId="7406F769">
      <w:pPr>
        <w:adjustRightInd w:val="0"/>
        <w:spacing w:line="600" w:lineRule="exact"/>
        <w:jc w:val="center"/>
        <w:rPr>
          <w:rFonts w:hint="eastAsia" w:ascii="黑体" w:eastAsia="黑体" w:cs="黑体"/>
          <w:sz w:val="28"/>
          <w:szCs w:val="30"/>
        </w:rPr>
      </w:pPr>
    </w:p>
    <w:p w14:paraId="749FD44C">
      <w:pPr>
        <w:adjustRightInd w:val="0"/>
        <w:spacing w:line="600" w:lineRule="exact"/>
        <w:jc w:val="center"/>
        <w:rPr>
          <w:rFonts w:hint="eastAsia" w:ascii="黑体" w:eastAsia="黑体" w:cs="黑体"/>
          <w:sz w:val="28"/>
          <w:szCs w:val="30"/>
        </w:rPr>
      </w:pPr>
    </w:p>
    <w:p w14:paraId="73ADC128">
      <w:pPr>
        <w:adjustRightInd w:val="0"/>
        <w:spacing w:line="600" w:lineRule="exact"/>
        <w:jc w:val="center"/>
        <w:rPr>
          <w:rFonts w:hint="eastAsia" w:ascii="黑体" w:eastAsia="黑体" w:cs="黑体"/>
          <w:sz w:val="28"/>
          <w:szCs w:val="30"/>
        </w:rPr>
      </w:pPr>
    </w:p>
    <w:p w14:paraId="6793744C">
      <w:pPr>
        <w:adjustRightInd w:val="0"/>
        <w:spacing w:line="600" w:lineRule="exact"/>
        <w:jc w:val="center"/>
        <w:rPr>
          <w:rFonts w:hint="eastAsia" w:ascii="黑体" w:eastAsia="黑体" w:cs="黑体"/>
          <w:sz w:val="28"/>
          <w:szCs w:val="30"/>
        </w:rPr>
      </w:pPr>
    </w:p>
    <w:p w14:paraId="1415BDF5">
      <w:pPr>
        <w:adjustRightInd w:val="0"/>
        <w:spacing w:line="600" w:lineRule="exact"/>
        <w:jc w:val="center"/>
        <w:rPr>
          <w:rFonts w:hint="eastAsia" w:ascii="黑体" w:eastAsia="黑体" w:cs="黑体"/>
          <w:sz w:val="28"/>
          <w:szCs w:val="30"/>
        </w:rPr>
      </w:pPr>
    </w:p>
    <w:p w14:paraId="6F172625">
      <w:pPr>
        <w:adjustRightInd w:val="0"/>
        <w:spacing w:line="600" w:lineRule="exact"/>
        <w:jc w:val="center"/>
        <w:rPr>
          <w:rFonts w:hint="eastAsia" w:ascii="黑体" w:eastAsia="黑体" w:cs="黑体"/>
          <w:sz w:val="28"/>
          <w:szCs w:val="30"/>
        </w:rPr>
      </w:pPr>
    </w:p>
    <w:p w14:paraId="4B728DEC">
      <w:pPr>
        <w:adjustRightInd w:val="0"/>
        <w:spacing w:line="600" w:lineRule="exact"/>
        <w:jc w:val="center"/>
        <w:rPr>
          <w:rFonts w:hint="eastAsia" w:ascii="黑体" w:eastAsia="黑体" w:cs="黑体"/>
          <w:sz w:val="28"/>
          <w:szCs w:val="30"/>
        </w:rPr>
      </w:pPr>
    </w:p>
    <w:p w14:paraId="70939CEC">
      <w:pPr>
        <w:adjustRightInd w:val="0"/>
        <w:spacing w:line="600" w:lineRule="exact"/>
        <w:jc w:val="center"/>
        <w:rPr>
          <w:rFonts w:hint="eastAsia" w:ascii="黑体" w:eastAsia="黑体" w:cs="黑体"/>
          <w:sz w:val="28"/>
          <w:szCs w:val="30"/>
        </w:rPr>
      </w:pPr>
    </w:p>
    <w:p w14:paraId="03DF87BA">
      <w:pPr>
        <w:adjustRightInd w:val="0"/>
        <w:spacing w:line="600" w:lineRule="exact"/>
        <w:jc w:val="center"/>
        <w:rPr>
          <w:rFonts w:hint="eastAsia" w:ascii="黑体" w:eastAsia="黑体" w:cs="黑体"/>
          <w:sz w:val="28"/>
          <w:szCs w:val="30"/>
        </w:rPr>
      </w:pPr>
    </w:p>
    <w:p w14:paraId="1C579C65">
      <w:pPr>
        <w:adjustRightInd w:val="0"/>
        <w:spacing w:line="600" w:lineRule="exact"/>
        <w:jc w:val="center"/>
        <w:rPr>
          <w:rFonts w:hint="eastAsia" w:ascii="黑体" w:eastAsia="黑体" w:cs="黑体"/>
          <w:sz w:val="28"/>
          <w:szCs w:val="30"/>
        </w:rPr>
      </w:pPr>
    </w:p>
    <w:p w14:paraId="1ADE364A">
      <w:pPr>
        <w:adjustRightInd w:val="0"/>
        <w:spacing w:line="600" w:lineRule="exact"/>
        <w:jc w:val="center"/>
        <w:rPr>
          <w:rFonts w:hint="eastAsia" w:ascii="黑体" w:eastAsia="黑体" w:cs="黑体"/>
          <w:sz w:val="28"/>
          <w:szCs w:val="30"/>
        </w:rPr>
      </w:pPr>
    </w:p>
    <w:p w14:paraId="29505401">
      <w:pPr>
        <w:adjustRightInd w:val="0"/>
        <w:spacing w:line="600" w:lineRule="exact"/>
        <w:jc w:val="center"/>
        <w:rPr>
          <w:rFonts w:hint="eastAsia" w:ascii="黑体" w:eastAsia="黑体" w:cs="黑体"/>
          <w:sz w:val="28"/>
          <w:szCs w:val="30"/>
        </w:rPr>
      </w:pPr>
    </w:p>
    <w:p w14:paraId="616D75C9">
      <w:pPr>
        <w:adjustRightInd w:val="0"/>
        <w:spacing w:line="600" w:lineRule="exact"/>
        <w:jc w:val="center"/>
        <w:rPr>
          <w:rFonts w:hint="eastAsia" w:ascii="黑体" w:eastAsia="黑体" w:cs="黑体"/>
          <w:sz w:val="28"/>
          <w:szCs w:val="30"/>
        </w:rPr>
      </w:pPr>
    </w:p>
    <w:p w14:paraId="48922595">
      <w:pPr>
        <w:adjustRightInd w:val="0"/>
        <w:spacing w:line="600" w:lineRule="exact"/>
        <w:jc w:val="center"/>
        <w:rPr>
          <w:rFonts w:hint="eastAsia" w:ascii="黑体" w:eastAsia="黑体" w:cs="黑体"/>
          <w:sz w:val="28"/>
          <w:szCs w:val="30"/>
        </w:rPr>
      </w:pPr>
    </w:p>
    <w:p w14:paraId="592814E2">
      <w:pPr>
        <w:adjustRightInd w:val="0"/>
        <w:spacing w:line="600" w:lineRule="exact"/>
        <w:jc w:val="center"/>
        <w:rPr>
          <w:rFonts w:hint="eastAsia" w:ascii="黑体" w:eastAsia="黑体" w:cs="黑体"/>
          <w:sz w:val="28"/>
          <w:szCs w:val="30"/>
        </w:rPr>
      </w:pPr>
    </w:p>
    <w:p w14:paraId="2706CD84">
      <w:pPr>
        <w:adjustRightInd w:val="0"/>
        <w:spacing w:line="600" w:lineRule="exact"/>
        <w:jc w:val="center"/>
        <w:rPr>
          <w:rFonts w:hint="eastAsia" w:ascii="黑体" w:eastAsia="黑体" w:cs="黑体"/>
          <w:sz w:val="28"/>
          <w:szCs w:val="30"/>
        </w:rPr>
      </w:pPr>
    </w:p>
    <w:p w14:paraId="74D1BEA1">
      <w:pPr>
        <w:adjustRightInd w:val="0"/>
        <w:spacing w:line="600" w:lineRule="exact"/>
        <w:jc w:val="center"/>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8785" cy="5089525"/>
                <wp:effectExtent l="4445" t="5080" r="20320" b="10795"/>
                <wp:docPr id="4" name="文本框 6"/>
                <wp:cNvGraphicFramePr/>
                <a:graphic xmlns:a="http://schemas.openxmlformats.org/drawingml/2006/main">
                  <a:graphicData uri="http://schemas.microsoft.com/office/word/2010/wordprocessingShape">
                    <wps:wsp>
                      <wps:cNvSpPr txBox="1">
                        <a:spLocks noRot="1"/>
                      </wps:cNvSpPr>
                      <wps:spPr>
                        <a:xfrm>
                          <a:off x="0" y="0"/>
                          <a:ext cx="5518785" cy="5089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4863E9">
                            <w:pPr>
                              <w:adjustRightInd w:val="0"/>
                              <w:jc w:val="center"/>
                              <w:rPr>
                                <w:rFonts w:ascii="黑体" w:eastAsia="黑体"/>
                                <w:sz w:val="28"/>
                                <w:szCs w:val="30"/>
                              </w:rPr>
                            </w:pPr>
                            <w:r>
                              <w:rPr>
                                <w:rFonts w:hint="eastAsia" w:ascii="黑体" w:eastAsia="黑体" w:cs="黑体"/>
                                <w:sz w:val="28"/>
                                <w:szCs w:val="30"/>
                              </w:rPr>
                              <w:t xml:space="preserve">专栏5 </w:t>
                            </w:r>
                            <w:r>
                              <w:rPr>
                                <w:rFonts w:ascii="黑体" w:eastAsia="黑体" w:cs="黑体"/>
                                <w:sz w:val="28"/>
                                <w:szCs w:val="30"/>
                              </w:rPr>
                              <w:t xml:space="preserve"> </w:t>
                            </w:r>
                            <w:r>
                              <w:rPr>
                                <w:rFonts w:hint="eastAsia" w:ascii="黑体" w:eastAsia="黑体" w:cs="黑体"/>
                                <w:sz w:val="28"/>
                                <w:szCs w:val="30"/>
                              </w:rPr>
                              <w:t>重点产业项目</w:t>
                            </w:r>
                          </w:p>
                          <w:p w14:paraId="677277D4">
                            <w:pPr>
                              <w:adjustRightInd w:val="0"/>
                              <w:spacing w:line="380" w:lineRule="exact"/>
                              <w:ind w:firstLine="422" w:firstLineChars="200"/>
                              <w:rPr>
                                <w:rFonts w:ascii="宋体" w:hAnsi="宋体"/>
                              </w:rPr>
                            </w:pPr>
                            <w:r>
                              <w:rPr>
                                <w:rFonts w:hint="eastAsia" w:ascii="宋体" w:hAnsi="宋体" w:cs="仿宋_GB2312"/>
                                <w:b/>
                                <w:bCs/>
                              </w:rPr>
                              <w:t>长春路-八一路经济发展轴：</w:t>
                            </w:r>
                            <w:r>
                              <w:rPr>
                                <w:rFonts w:hint="eastAsia" w:ascii="宋体" w:hAnsi="宋体" w:cs="仿宋_GB2312"/>
                              </w:rPr>
                              <w:t>重点实施耐酸泵厂周边地块改造、威华公寓地块改造、舞蹈用品一条街提升改造工程。推进仲夏村煤气储配站周边地块改造、原铁路司机学校周边地块改造、长白街周边地块改造、铁路西站地块改造、八一路商业街提升改造、大连白云高尔夫训练场周边区域改造等前期项目。</w:t>
                            </w:r>
                          </w:p>
                          <w:p w14:paraId="7BFD0854">
                            <w:pPr>
                              <w:adjustRightInd w:val="0"/>
                              <w:spacing w:line="380" w:lineRule="exact"/>
                              <w:ind w:firstLine="422" w:firstLineChars="200"/>
                              <w:rPr>
                                <w:rFonts w:ascii="宋体" w:hAnsi="宋体"/>
                              </w:rPr>
                            </w:pPr>
                            <w:r>
                              <w:rPr>
                                <w:rFonts w:hint="eastAsia" w:ascii="宋体" w:hAnsi="宋体" w:cs="仿宋_GB2312"/>
                                <w:b/>
                                <w:bCs/>
                              </w:rPr>
                              <w:t>站北商贸商务文化区：</w:t>
                            </w:r>
                            <w:r>
                              <w:rPr>
                                <w:rFonts w:hint="eastAsia" w:ascii="宋体" w:hAnsi="宋体" w:cs="仿宋_GB2312"/>
                              </w:rPr>
                              <w:t>重点实施黑咀子码头及周边地块改造、大连渔轮公司地块改造、大连英和水产制品厂地块改造、俄罗斯风情街提升改造工程、悦泰·福里（三期）项目。推进兴业建材市场及周边地块改造、站北部分旧城区改造、自然博物馆及周边改造等前期项目。</w:t>
                            </w:r>
                          </w:p>
                          <w:p w14:paraId="627B2471">
                            <w:pPr>
                              <w:adjustRightInd w:val="0"/>
                              <w:spacing w:line="380" w:lineRule="exact"/>
                              <w:ind w:firstLine="422" w:firstLineChars="200"/>
                              <w:rPr>
                                <w:rFonts w:ascii="宋体" w:hAnsi="宋体"/>
                              </w:rPr>
                            </w:pPr>
                            <w:r>
                              <w:rPr>
                                <w:rFonts w:hint="eastAsia" w:ascii="宋体" w:hAnsi="宋体" w:cs="仿宋_GB2312"/>
                                <w:b/>
                                <w:bCs/>
                              </w:rPr>
                              <w:t>香炉礁国际商贸物流区：</w:t>
                            </w:r>
                            <w:r>
                              <w:rPr>
                                <w:rFonts w:hint="eastAsia" w:ascii="宋体" w:hAnsi="宋体" w:cs="仿宋_GB2312"/>
                              </w:rPr>
                              <w:t>百年港湾·奥特莱斯项目建成达效。重点实施原旧货市场地块改造、原衡器厂地块改造和香水湾项目。推进新海航运码头及周边地块、小渔村地块改造等前期项目。</w:t>
                            </w:r>
                          </w:p>
                          <w:p w14:paraId="2FFE1C43">
                            <w:pPr>
                              <w:adjustRightInd w:val="0"/>
                              <w:spacing w:line="380" w:lineRule="exact"/>
                              <w:ind w:firstLine="422" w:firstLineChars="200"/>
                              <w:rPr>
                                <w:rFonts w:ascii="宋体" w:hAnsi="宋体"/>
                              </w:rPr>
                            </w:pPr>
                            <w:r>
                              <w:rPr>
                                <w:rFonts w:hint="eastAsia" w:ascii="宋体" w:hAnsi="宋体" w:cs="仿宋_GB2312"/>
                                <w:b/>
                                <w:bCs/>
                              </w:rPr>
                              <w:t>新开路金融商业区：</w:t>
                            </w:r>
                            <w:r>
                              <w:rPr>
                                <w:rFonts w:hint="eastAsia" w:ascii="宋体" w:hAnsi="宋体" w:cs="仿宋_GB2312"/>
                              </w:rPr>
                              <w:t>重点实施东关街旧城区改造、润德公馆、原市政总公司地块改造、天和玉酒店提升改造等项目。</w:t>
                            </w:r>
                          </w:p>
                          <w:p w14:paraId="2F4BADC1">
                            <w:pPr>
                              <w:adjustRightInd w:val="0"/>
                              <w:spacing w:line="380" w:lineRule="exact"/>
                              <w:ind w:firstLine="422" w:firstLineChars="200"/>
                              <w:rPr>
                                <w:rFonts w:ascii="宋体" w:hAnsi="宋体"/>
                              </w:rPr>
                            </w:pPr>
                            <w:r>
                              <w:rPr>
                                <w:rFonts w:hint="eastAsia" w:ascii="宋体" w:hAnsi="宋体" w:cs="仿宋_GB2312"/>
                                <w:b/>
                                <w:bCs/>
                              </w:rPr>
                              <w:t>一二九街国际商务区：</w:t>
                            </w:r>
                            <w:r>
                              <w:rPr>
                                <w:rFonts w:hint="eastAsia" w:ascii="宋体" w:hAnsi="宋体" w:cs="仿宋_GB2312"/>
                              </w:rPr>
                              <w:t>重点实施中瑞艺术文化交流中心及商业配套、大连城市规划展示中心、汇景天地提升改造、大连儿童医院改扩建工程。推进一二九街周边地块改造、畅通街周边区域改造等前期项目。</w:t>
                            </w:r>
                          </w:p>
                          <w:p w14:paraId="74B170F6">
                            <w:pPr>
                              <w:adjustRightInd w:val="0"/>
                              <w:spacing w:line="380" w:lineRule="exact"/>
                              <w:ind w:firstLine="422" w:firstLineChars="200"/>
                              <w:rPr>
                                <w:rFonts w:hint="eastAsia" w:ascii="宋体" w:hAnsi="宋体" w:cs="仿宋_GB2312"/>
                              </w:rPr>
                            </w:pPr>
                            <w:r>
                              <w:rPr>
                                <w:rFonts w:hint="eastAsia" w:ascii="宋体" w:hAnsi="宋体" w:cs="仿宋_GB2312"/>
                                <w:b/>
                                <w:bCs/>
                              </w:rPr>
                              <w:t>奥林匹克现代商业区：</w:t>
                            </w:r>
                            <w:r>
                              <w:rPr>
                                <w:rFonts w:hint="eastAsia" w:ascii="宋体" w:hAnsi="宋体" w:cs="仿宋_GB2312"/>
                              </w:rPr>
                              <w:t>重点实施大同街地下人行通道、高尔基路</w:t>
                            </w:r>
                            <w:r>
                              <w:rPr>
                                <w:rFonts w:ascii="宋体" w:hAnsi="宋体" w:cs="仿宋_GB2312"/>
                              </w:rPr>
                              <w:t>-</w:t>
                            </w:r>
                            <w:r>
                              <w:rPr>
                                <w:rFonts w:hint="eastAsia" w:ascii="宋体" w:hAnsi="宋体" w:cs="仿宋_GB2312"/>
                              </w:rPr>
                              <w:t>凤鸣街地块改造、胜利路沿线商业配套建设等项目。</w:t>
                            </w:r>
                          </w:p>
                          <w:p w14:paraId="284B7BF7">
                            <w:pPr>
                              <w:adjustRightInd w:val="0"/>
                              <w:spacing w:line="380" w:lineRule="exact"/>
                              <w:ind w:firstLine="422" w:firstLineChars="200"/>
                              <w:rPr>
                                <w:rFonts w:ascii="宋体" w:hAnsi="宋体"/>
                              </w:rPr>
                            </w:pPr>
                            <w:r>
                              <w:rPr>
                                <w:rFonts w:hint="eastAsia" w:ascii="宋体" w:hAnsi="宋体" w:cs="仿宋_GB2312"/>
                                <w:b/>
                                <w:bCs/>
                              </w:rPr>
                              <w:t>傅家庄休闲旅游商务区：</w:t>
                            </w:r>
                            <w:r>
                              <w:rPr>
                                <w:rFonts w:hint="eastAsia" w:ascii="宋体" w:hAnsi="宋体" w:cs="仿宋_GB2312"/>
                              </w:rPr>
                              <w:t>重点推进傅家庄公园提升改造、水产研究所周边地块改造、大连船舶疗养院提升改造等项目。</w:t>
                            </w:r>
                          </w:p>
                        </w:txbxContent>
                      </wps:txbx>
                      <wps:bodyPr wrap="square" upright="1"/>
                    </wps:wsp>
                  </a:graphicData>
                </a:graphic>
              </wp:inline>
            </w:drawing>
          </mc:Choice>
          <mc:Fallback>
            <w:pict>
              <v:shape id="文本框 6" o:spid="_x0000_s1026" o:spt="202" type="#_x0000_t202" style="height:400.75pt;width:434.55pt;" fillcolor="#FFFFFF" filled="t" stroked="t" coordsize="21600,21600" o:gfxdata="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1LS7bW&#10;AAAABQEAAA8AAAAAAAAAAQAgAAAAIgAAAGRycy9kb3ducmV2LnhtbFBLAQIUABQAAAAIAIdO4kBe&#10;8BAXIgIAAGgEAAAOAAAAAAAAAAEAIAAAACUBAABkcnMvZTJvRG9jLnhtbFBLBQYAAAAABgAGAFkB&#10;AAC5BQAAAAA=&#10;">
                <v:fill on="t" focussize="0,0"/>
                <v:stroke color="#000000" joinstyle="miter"/>
                <v:imagedata o:title=""/>
                <o:lock v:ext="edit" rotation="t" aspectratio="f"/>
                <v:textbox>
                  <w:txbxContent>
                    <w:p w14:paraId="064863E9">
                      <w:pPr>
                        <w:adjustRightInd w:val="0"/>
                        <w:jc w:val="center"/>
                        <w:rPr>
                          <w:rFonts w:ascii="黑体" w:eastAsia="黑体"/>
                          <w:sz w:val="28"/>
                          <w:szCs w:val="30"/>
                        </w:rPr>
                      </w:pPr>
                      <w:r>
                        <w:rPr>
                          <w:rFonts w:hint="eastAsia" w:ascii="黑体" w:eastAsia="黑体" w:cs="黑体"/>
                          <w:sz w:val="28"/>
                          <w:szCs w:val="30"/>
                        </w:rPr>
                        <w:t xml:space="preserve">专栏5 </w:t>
                      </w:r>
                      <w:r>
                        <w:rPr>
                          <w:rFonts w:ascii="黑体" w:eastAsia="黑体" w:cs="黑体"/>
                          <w:sz w:val="28"/>
                          <w:szCs w:val="30"/>
                        </w:rPr>
                        <w:t xml:space="preserve"> </w:t>
                      </w:r>
                      <w:r>
                        <w:rPr>
                          <w:rFonts w:hint="eastAsia" w:ascii="黑体" w:eastAsia="黑体" w:cs="黑体"/>
                          <w:sz w:val="28"/>
                          <w:szCs w:val="30"/>
                        </w:rPr>
                        <w:t>重点产业项目</w:t>
                      </w:r>
                    </w:p>
                    <w:p w14:paraId="677277D4">
                      <w:pPr>
                        <w:adjustRightInd w:val="0"/>
                        <w:spacing w:line="380" w:lineRule="exact"/>
                        <w:ind w:firstLine="422" w:firstLineChars="200"/>
                        <w:rPr>
                          <w:rFonts w:ascii="宋体" w:hAnsi="宋体"/>
                        </w:rPr>
                      </w:pPr>
                      <w:r>
                        <w:rPr>
                          <w:rFonts w:hint="eastAsia" w:ascii="宋体" w:hAnsi="宋体" w:cs="仿宋_GB2312"/>
                          <w:b/>
                          <w:bCs/>
                        </w:rPr>
                        <w:t>长春路-八一路经济发展轴：</w:t>
                      </w:r>
                      <w:r>
                        <w:rPr>
                          <w:rFonts w:hint="eastAsia" w:ascii="宋体" w:hAnsi="宋体" w:cs="仿宋_GB2312"/>
                        </w:rPr>
                        <w:t>重点实施耐酸泵厂周边地块改造、威华公寓地块改造、舞蹈用品一条街提升改造工程。推进仲夏村煤气储配站周边地块改造、原铁路司机学校周边地块改造、长白街周边地块改造、铁路西站地块改造、八一路商业街提升改造、大连白云高尔夫训练场周边区域改造等前期项目。</w:t>
                      </w:r>
                    </w:p>
                    <w:p w14:paraId="7BFD0854">
                      <w:pPr>
                        <w:adjustRightInd w:val="0"/>
                        <w:spacing w:line="380" w:lineRule="exact"/>
                        <w:ind w:firstLine="422" w:firstLineChars="200"/>
                        <w:rPr>
                          <w:rFonts w:ascii="宋体" w:hAnsi="宋体"/>
                        </w:rPr>
                      </w:pPr>
                      <w:r>
                        <w:rPr>
                          <w:rFonts w:hint="eastAsia" w:ascii="宋体" w:hAnsi="宋体" w:cs="仿宋_GB2312"/>
                          <w:b/>
                          <w:bCs/>
                        </w:rPr>
                        <w:t>站北商贸商务文化区：</w:t>
                      </w:r>
                      <w:r>
                        <w:rPr>
                          <w:rFonts w:hint="eastAsia" w:ascii="宋体" w:hAnsi="宋体" w:cs="仿宋_GB2312"/>
                        </w:rPr>
                        <w:t>重点实施黑咀子码头及周边地块改造、大连渔轮公司地块改造、大连英和水产制品厂地块改造、俄罗斯风情街提升改造工程、悦泰·福里（三期）项目。推进兴业建材市场及周边地块改造、站北部分旧城区改造、自然博物馆及周边改造等前期项目。</w:t>
                      </w:r>
                    </w:p>
                    <w:p w14:paraId="627B2471">
                      <w:pPr>
                        <w:adjustRightInd w:val="0"/>
                        <w:spacing w:line="380" w:lineRule="exact"/>
                        <w:ind w:firstLine="422" w:firstLineChars="200"/>
                        <w:rPr>
                          <w:rFonts w:ascii="宋体" w:hAnsi="宋体"/>
                        </w:rPr>
                      </w:pPr>
                      <w:r>
                        <w:rPr>
                          <w:rFonts w:hint="eastAsia" w:ascii="宋体" w:hAnsi="宋体" w:cs="仿宋_GB2312"/>
                          <w:b/>
                          <w:bCs/>
                        </w:rPr>
                        <w:t>香炉礁国际商贸物流区：</w:t>
                      </w:r>
                      <w:r>
                        <w:rPr>
                          <w:rFonts w:hint="eastAsia" w:ascii="宋体" w:hAnsi="宋体" w:cs="仿宋_GB2312"/>
                        </w:rPr>
                        <w:t>百年港湾·奥特莱斯项目建成达效。重点实施原旧货市场地块改造、原衡器厂地块改造和香水湾项目。推进新海航运码头及周边地块、小渔村地块改造等前期项目。</w:t>
                      </w:r>
                    </w:p>
                    <w:p w14:paraId="2FFE1C43">
                      <w:pPr>
                        <w:adjustRightInd w:val="0"/>
                        <w:spacing w:line="380" w:lineRule="exact"/>
                        <w:ind w:firstLine="422" w:firstLineChars="200"/>
                        <w:rPr>
                          <w:rFonts w:ascii="宋体" w:hAnsi="宋体"/>
                        </w:rPr>
                      </w:pPr>
                      <w:r>
                        <w:rPr>
                          <w:rFonts w:hint="eastAsia" w:ascii="宋体" w:hAnsi="宋体" w:cs="仿宋_GB2312"/>
                          <w:b/>
                          <w:bCs/>
                        </w:rPr>
                        <w:t>新开路金融商业区：</w:t>
                      </w:r>
                      <w:r>
                        <w:rPr>
                          <w:rFonts w:hint="eastAsia" w:ascii="宋体" w:hAnsi="宋体" w:cs="仿宋_GB2312"/>
                        </w:rPr>
                        <w:t>重点实施东关街旧城区改造、润德公馆、原市政总公司地块改造、天和玉酒店提升改造等项目。</w:t>
                      </w:r>
                    </w:p>
                    <w:p w14:paraId="2F4BADC1">
                      <w:pPr>
                        <w:adjustRightInd w:val="0"/>
                        <w:spacing w:line="380" w:lineRule="exact"/>
                        <w:ind w:firstLine="422" w:firstLineChars="200"/>
                        <w:rPr>
                          <w:rFonts w:ascii="宋体" w:hAnsi="宋体"/>
                        </w:rPr>
                      </w:pPr>
                      <w:r>
                        <w:rPr>
                          <w:rFonts w:hint="eastAsia" w:ascii="宋体" w:hAnsi="宋体" w:cs="仿宋_GB2312"/>
                          <w:b/>
                          <w:bCs/>
                        </w:rPr>
                        <w:t>一二九街国际商务区：</w:t>
                      </w:r>
                      <w:r>
                        <w:rPr>
                          <w:rFonts w:hint="eastAsia" w:ascii="宋体" w:hAnsi="宋体" w:cs="仿宋_GB2312"/>
                        </w:rPr>
                        <w:t>重点实施中瑞艺术文化交流中心及商业配套、大连城市规划展示中心、汇景天地提升改造、大连儿童医院改扩建工程。推进一二九街周边地块改造、畅通街周边区域改造等前期项目。</w:t>
                      </w:r>
                    </w:p>
                    <w:p w14:paraId="74B170F6">
                      <w:pPr>
                        <w:adjustRightInd w:val="0"/>
                        <w:spacing w:line="380" w:lineRule="exact"/>
                        <w:ind w:firstLine="422" w:firstLineChars="200"/>
                        <w:rPr>
                          <w:rFonts w:hint="eastAsia" w:ascii="宋体" w:hAnsi="宋体" w:cs="仿宋_GB2312"/>
                        </w:rPr>
                      </w:pPr>
                      <w:r>
                        <w:rPr>
                          <w:rFonts w:hint="eastAsia" w:ascii="宋体" w:hAnsi="宋体" w:cs="仿宋_GB2312"/>
                          <w:b/>
                          <w:bCs/>
                        </w:rPr>
                        <w:t>奥林匹克现代商业区：</w:t>
                      </w:r>
                      <w:r>
                        <w:rPr>
                          <w:rFonts w:hint="eastAsia" w:ascii="宋体" w:hAnsi="宋体" w:cs="仿宋_GB2312"/>
                        </w:rPr>
                        <w:t>重点实施大同街地下人行通道、高尔基路</w:t>
                      </w:r>
                      <w:r>
                        <w:rPr>
                          <w:rFonts w:ascii="宋体" w:hAnsi="宋体" w:cs="仿宋_GB2312"/>
                        </w:rPr>
                        <w:t>-</w:t>
                      </w:r>
                      <w:r>
                        <w:rPr>
                          <w:rFonts w:hint="eastAsia" w:ascii="宋体" w:hAnsi="宋体" w:cs="仿宋_GB2312"/>
                        </w:rPr>
                        <w:t>凤鸣街地块改造、胜利路沿线商业配套建设等项目。</w:t>
                      </w:r>
                    </w:p>
                    <w:p w14:paraId="284B7BF7">
                      <w:pPr>
                        <w:adjustRightInd w:val="0"/>
                        <w:spacing w:line="380" w:lineRule="exact"/>
                        <w:ind w:firstLine="422" w:firstLineChars="200"/>
                        <w:rPr>
                          <w:rFonts w:ascii="宋体" w:hAnsi="宋体"/>
                        </w:rPr>
                      </w:pPr>
                      <w:r>
                        <w:rPr>
                          <w:rFonts w:hint="eastAsia" w:ascii="宋体" w:hAnsi="宋体" w:cs="仿宋_GB2312"/>
                          <w:b/>
                          <w:bCs/>
                        </w:rPr>
                        <w:t>傅家庄休闲旅游商务区：</w:t>
                      </w:r>
                      <w:r>
                        <w:rPr>
                          <w:rFonts w:hint="eastAsia" w:ascii="宋体" w:hAnsi="宋体" w:cs="仿宋_GB2312"/>
                        </w:rPr>
                        <w:t>重点推进傅家庄公园提升改造、水产研究所周边地块改造、大连船舶疗养院提升改造等项目。</w:t>
                      </w:r>
                    </w:p>
                  </w:txbxContent>
                </v:textbox>
                <w10:wrap type="none"/>
                <w10:anchorlock/>
              </v:shape>
            </w:pict>
          </mc:Fallback>
        </mc:AlternateContent>
      </w:r>
    </w:p>
    <w:p w14:paraId="5A282716">
      <w:pPr>
        <w:adjustRightInd w:val="0"/>
        <w:spacing w:before="468" w:beforeLines="150" w:after="156" w:afterLines="50" w:line="600" w:lineRule="exact"/>
        <w:jc w:val="center"/>
        <w:outlineLvl w:val="0"/>
        <w:rPr>
          <w:rFonts w:hint="eastAsia" w:ascii="黑体" w:hAnsi="黑体" w:eastAsia="黑体"/>
          <w:sz w:val="34"/>
          <w:szCs w:val="34"/>
        </w:rPr>
      </w:pPr>
      <w:bookmarkStart w:id="38" w:name="_Toc439276697"/>
      <w:r>
        <w:rPr>
          <w:rFonts w:hint="eastAsia" w:ascii="黑体" w:hAnsi="黑体" w:eastAsia="黑体"/>
          <w:sz w:val="34"/>
          <w:szCs w:val="34"/>
        </w:rPr>
        <w:t xml:space="preserve">第五章  </w:t>
      </w:r>
      <w:bookmarkEnd w:id="35"/>
      <w:r>
        <w:rPr>
          <w:rFonts w:hint="eastAsia" w:ascii="黑体" w:hAnsi="黑体" w:eastAsia="黑体"/>
          <w:sz w:val="34"/>
          <w:szCs w:val="34"/>
        </w:rPr>
        <w:t>建设结构优化的现代服务业集聚区</w:t>
      </w:r>
      <w:bookmarkEnd w:id="38"/>
    </w:p>
    <w:p w14:paraId="6CBD5DF1">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大力发展结构型、功能型、繁荣型经济，以全域现代服务业集聚区建设为载体，坚持优势服务业提升和新兴服务业培育“双轮驱动”，加快完善现代产业体系，积极发展经济新业态，努力构建优良产业生态，在大连市产业结构优化的先导区建设中发挥示范和引领作用。</w:t>
      </w:r>
    </w:p>
    <w:p w14:paraId="14444902">
      <w:pPr>
        <w:adjustRightInd w:val="0"/>
        <w:spacing w:line="600" w:lineRule="exact"/>
        <w:ind w:firstLine="680" w:firstLineChars="200"/>
        <w:outlineLvl w:val="1"/>
        <w:rPr>
          <w:rFonts w:hint="eastAsia" w:ascii="黑体" w:hAnsi="黑体" w:eastAsia="黑体"/>
          <w:kern w:val="0"/>
          <w:sz w:val="34"/>
          <w:szCs w:val="34"/>
        </w:rPr>
      </w:pPr>
      <w:bookmarkStart w:id="39" w:name="_Toc434499001"/>
      <w:bookmarkStart w:id="40" w:name="_Toc436243974"/>
      <w:bookmarkStart w:id="41" w:name="_Toc438036585"/>
      <w:bookmarkStart w:id="42" w:name="_Toc439276698"/>
      <w:bookmarkStart w:id="43" w:name="_Toc438450587"/>
      <w:r>
        <w:rPr>
          <w:rFonts w:hint="eastAsia" w:ascii="黑体" w:hAnsi="黑体" w:eastAsia="黑体"/>
          <w:kern w:val="0"/>
          <w:sz w:val="34"/>
          <w:szCs w:val="34"/>
        </w:rPr>
        <w:t>一、重点提升优势服务业</w:t>
      </w:r>
      <w:bookmarkEnd w:id="39"/>
      <w:bookmarkEnd w:id="40"/>
      <w:bookmarkEnd w:id="41"/>
      <w:bookmarkEnd w:id="42"/>
      <w:bookmarkEnd w:id="43"/>
    </w:p>
    <w:p w14:paraId="33C6A76C">
      <w:pPr>
        <w:adjustRightInd w:val="0"/>
        <w:spacing w:line="600" w:lineRule="exact"/>
        <w:ind w:firstLine="683" w:firstLineChars="200"/>
        <w:rPr>
          <w:rFonts w:hint="eastAsia" w:ascii="仿宋_GB2312" w:eastAsia="仿宋_GB2312"/>
          <w:sz w:val="34"/>
          <w:szCs w:val="34"/>
        </w:rPr>
      </w:pPr>
      <w:r>
        <w:rPr>
          <w:rFonts w:hint="eastAsia" w:ascii="楷体_GB2312" w:hAnsi="黑体" w:eastAsia="楷体_GB2312"/>
          <w:b/>
          <w:bCs/>
          <w:sz w:val="34"/>
          <w:szCs w:val="34"/>
        </w:rPr>
        <w:t>现代商贸业。</w:t>
      </w:r>
      <w:r>
        <w:rPr>
          <w:rFonts w:hint="eastAsia" w:ascii="仿宋_GB2312" w:eastAsia="仿宋_GB2312"/>
          <w:bCs/>
          <w:sz w:val="34"/>
          <w:szCs w:val="34"/>
        </w:rPr>
        <w:t>以特色商圈和商业街区建设为重点，</w:t>
      </w:r>
      <w:r>
        <w:rPr>
          <w:rFonts w:hint="eastAsia" w:ascii="仿宋_GB2312" w:eastAsia="仿宋_GB2312"/>
          <w:sz w:val="34"/>
          <w:szCs w:val="34"/>
        </w:rPr>
        <w:t>聚合国际化、现代化、特色化商业业态，构建布局合理、规模适度、服务完善的现代商贸业体系。推动香炉礁、站北和奥林匹克“三大商圈” 优势互补、联动发展。加快精品商业街区建设，培育特色品牌。提升现代商贸业的影响力和辐射力。</w:t>
      </w:r>
    </w:p>
    <w:p w14:paraId="1D78FF5B">
      <w:pPr>
        <w:adjustRightInd w:val="0"/>
        <w:spacing w:line="600" w:lineRule="exact"/>
        <w:ind w:firstLine="683" w:firstLineChars="200"/>
        <w:rPr>
          <w:rFonts w:hint="eastAsia" w:ascii="仿宋_GB2312" w:eastAsia="仿宋_GB2312"/>
          <w:sz w:val="34"/>
          <w:szCs w:val="34"/>
        </w:rPr>
      </w:pPr>
      <w:r>
        <w:rPr>
          <w:rFonts w:hint="eastAsia" w:ascii="楷体_GB2312" w:hAnsi="黑体" w:eastAsia="楷体_GB2312"/>
          <w:b/>
          <w:bCs/>
          <w:sz w:val="34"/>
          <w:szCs w:val="34"/>
        </w:rPr>
        <w:t>商务服务业。</w:t>
      </w:r>
      <w:r>
        <w:rPr>
          <w:rFonts w:hint="eastAsia" w:ascii="仿宋_GB2312" w:eastAsia="仿宋_GB2312"/>
          <w:sz w:val="34"/>
          <w:szCs w:val="34"/>
        </w:rPr>
        <w:t>坚持总部经济和楼宇经济核心战略，引进集团总部、研发机构总部和各类财务结算中心。推动商务楼宇高端化、品牌化、智能化发展。鼓励楼宇运营商对老旧楼宇进行升级改造和业态调整，优化楼宇资源、提升楼宇效益。引进具有行业领先地位的品牌商务服务机构，优化商务环境。增强对大连市全域发展的服务与辐射能力。</w:t>
      </w:r>
    </w:p>
    <w:p w14:paraId="0E41AD3F">
      <w:pPr>
        <w:spacing w:line="600" w:lineRule="exact"/>
        <w:ind w:firstLine="683" w:firstLineChars="200"/>
        <w:rPr>
          <w:rFonts w:hint="eastAsia" w:ascii="仿宋_GB2312" w:eastAsia="仿宋_GB2312"/>
          <w:sz w:val="34"/>
          <w:szCs w:val="34"/>
        </w:rPr>
      </w:pPr>
      <w:r>
        <w:rPr>
          <w:rFonts w:hint="eastAsia" w:ascii="楷体_GB2312" w:hAnsi="黑体" w:eastAsia="楷体_GB2312"/>
          <w:b/>
          <w:bCs/>
          <w:sz w:val="34"/>
          <w:szCs w:val="34"/>
        </w:rPr>
        <w:t>现代物流业。</w:t>
      </w:r>
      <w:r>
        <w:rPr>
          <w:rFonts w:hint="eastAsia" w:ascii="仿宋_GB2312" w:eastAsia="仿宋_GB2312"/>
          <w:sz w:val="34"/>
          <w:szCs w:val="34"/>
        </w:rPr>
        <w:t>支持城市共同配送总部企业和供应链管理企业加快壮大。运用供应链管理技术推动产业转型升级。做大香炉礁物流园区、站北地区特色物流产业集聚发展平台。推进贸易、物流、金融和供应链融合联动发展，推动传统物流向现代物流和供应链管理方向转变。规范站北地区双兴市场物流配送场站秩序。增强对区域物流资源高端要素的聚集、组织和调控能力。</w:t>
      </w:r>
    </w:p>
    <w:p w14:paraId="5C9515BA">
      <w:pPr>
        <w:adjustRightInd w:val="0"/>
        <w:spacing w:line="600" w:lineRule="exact"/>
        <w:ind w:firstLine="683" w:firstLineChars="200"/>
        <w:rPr>
          <w:rFonts w:hint="eastAsia" w:ascii="仿宋_GB2312" w:eastAsia="仿宋_GB2312"/>
          <w:sz w:val="34"/>
          <w:szCs w:val="34"/>
        </w:rPr>
      </w:pPr>
      <w:r>
        <w:rPr>
          <w:rFonts w:hint="eastAsia" w:ascii="楷体_GB2312" w:hAnsi="黑体" w:eastAsia="楷体_GB2312"/>
          <w:b/>
          <w:bCs/>
          <w:sz w:val="34"/>
          <w:szCs w:val="34"/>
        </w:rPr>
        <w:t>现代旅游业。</w:t>
      </w:r>
      <w:r>
        <w:rPr>
          <w:rFonts w:hint="eastAsia" w:ascii="仿宋_GB2312" w:eastAsia="仿宋_GB2312"/>
          <w:sz w:val="34"/>
          <w:szCs w:val="34"/>
        </w:rPr>
        <w:t>引导旅游业与文化、商贸、健康等产业融合发展，大力发展都市旅游、文化旅游和健康旅游。整体提升傅家庄、团结街周边区域旅游功能。积极发展“互联网+旅游”，鼓励企业开展线上线下互动式经营。设计推出多元化旅游产品，拓展旅游消费价值链。积极推进智慧景区建设。</w:t>
      </w:r>
    </w:p>
    <w:p w14:paraId="2A732343">
      <w:pPr>
        <w:spacing w:line="600" w:lineRule="exact"/>
        <w:ind w:firstLine="683" w:firstLineChars="200"/>
        <w:rPr>
          <w:rFonts w:hint="eastAsia" w:ascii="仿宋_GB2312" w:eastAsia="仿宋_GB2312"/>
          <w:bCs/>
          <w:sz w:val="34"/>
          <w:szCs w:val="34"/>
        </w:rPr>
      </w:pPr>
      <w:r>
        <w:rPr>
          <w:rFonts w:hint="eastAsia" w:ascii="楷体_GB2312" w:hAnsi="黑体" w:eastAsia="楷体_GB2312"/>
          <w:b/>
          <w:bCs/>
          <w:sz w:val="34"/>
          <w:szCs w:val="34"/>
        </w:rPr>
        <w:t>居民服务业。</w:t>
      </w:r>
      <w:r>
        <w:rPr>
          <w:rFonts w:hint="eastAsia" w:ascii="仿宋_GB2312" w:eastAsia="仿宋_GB2312"/>
          <w:bCs/>
          <w:sz w:val="34"/>
          <w:szCs w:val="34"/>
        </w:rPr>
        <w:t>优化社区商业业态，合理布局美容美发、洗染等便民服务网点，推动菜篮子工程建设，打造“一刻钟生活便利圈”。依托市房地产交易市场坐落于我区的优势，推动房地产中介、物业管理、搬家保洁等居民和家庭服务发展。引导企业运用互联网技术推动业态创新、管理创新和服务创新。</w:t>
      </w:r>
    </w:p>
    <w:bookmarkEnd w:id="36"/>
    <w:bookmarkEnd w:id="37"/>
    <w:p w14:paraId="39439DA4">
      <w:pPr>
        <w:adjustRightInd w:val="0"/>
        <w:spacing w:line="600" w:lineRule="exact"/>
        <w:ind w:firstLine="680" w:firstLineChars="200"/>
        <w:outlineLvl w:val="1"/>
        <w:rPr>
          <w:rFonts w:hint="eastAsia" w:ascii="黑体" w:hAnsi="黑体" w:eastAsia="黑体"/>
          <w:kern w:val="0"/>
          <w:sz w:val="34"/>
          <w:szCs w:val="34"/>
        </w:rPr>
      </w:pPr>
      <w:bookmarkStart w:id="44" w:name="_Toc439276699"/>
      <w:r>
        <w:rPr>
          <w:rFonts w:hint="eastAsia" w:ascii="黑体" w:hAnsi="黑体" w:eastAsia="黑体"/>
          <w:kern w:val="0"/>
          <w:sz w:val="34"/>
          <w:szCs w:val="34"/>
        </w:rPr>
        <w:t>二、加快培育新兴服务业</w:t>
      </w:r>
      <w:bookmarkEnd w:id="44"/>
    </w:p>
    <w:p w14:paraId="1F884414">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非银行金融服务业。</w:t>
      </w:r>
      <w:r>
        <w:rPr>
          <w:rFonts w:hint="eastAsia" w:ascii="仿宋_GB2312" w:eastAsia="仿宋_GB2312"/>
          <w:sz w:val="34"/>
          <w:szCs w:val="34"/>
        </w:rPr>
        <w:t>以西岗PE万达大厦和新开路、东关街周边区域为核心，加快金融服务机构集聚，构建非银行金融特色产业园区。完善非银行金融业服务配套，推动非银行金融业创新发展，支持互联网金融、融资担保、融资租赁、股权投资等特色金融发展壮大。</w:t>
      </w:r>
    </w:p>
    <w:p w14:paraId="4397E276">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科技服务业。</w:t>
      </w:r>
      <w:r>
        <w:rPr>
          <w:rFonts w:hint="eastAsia" w:ascii="仿宋_GB2312" w:eastAsia="仿宋_GB2312"/>
          <w:sz w:val="34"/>
          <w:szCs w:val="34"/>
        </w:rPr>
        <w:t>创新科技服务模式，拓展创业孵化服务，培育壮大科技服务市场主体。大力发展研发服务，吸引国内外知名研发机构、企业研发中心落户。加快建设“众创空间”，孵化创新型小微企业，形成新的经济增长点。积极培育科技中介机构，为企业提供技术咨询、市场信息、专利申请和资产评估等服务。依托区域金融资源，搭建科技金融服务平台。</w:t>
      </w:r>
    </w:p>
    <w:p w14:paraId="029C26A1">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健康服务业。</w:t>
      </w:r>
      <w:r>
        <w:rPr>
          <w:rFonts w:hint="eastAsia" w:ascii="仿宋_GB2312" w:eastAsia="仿宋_GB2312"/>
          <w:sz w:val="34"/>
          <w:szCs w:val="34"/>
        </w:rPr>
        <w:t>发挥区域医疗资源优势，引进国内外知名健康产品企业研发、经营总部，推动健康服务产业化、高端化发展。有序发展药品保健品、医疗器械市场。扶持发展中医药医疗服务业及衍生行业。深化“医养融合”服务内涵，建立健全医疗机构与养老机构合作机制，广泛发展社区健康养老服务。支持发展多样化健康服务，引导居民健身消费。</w:t>
      </w:r>
    </w:p>
    <w:p w14:paraId="5D1B4BF8">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电子商务服务业。</w:t>
      </w:r>
      <w:r>
        <w:rPr>
          <w:rFonts w:hint="eastAsia" w:ascii="仿宋_GB2312" w:eastAsia="仿宋_GB2312"/>
          <w:sz w:val="34"/>
          <w:szCs w:val="34"/>
        </w:rPr>
        <w:t>加强与企业商会、行业协会等中介组织合作，引进电子商务企业区域总部和功能总部。扶持本地中小电子商务企业发展壮大。鼓励企业依托实体经营场地，通过第三方电子商务网站或自建电子商务交易平台，发展线上线下相结合的服务营销模式。推进传统企业和专业市场转型升级，培育自有电子商务品牌。支持跨境电子商务发展。</w:t>
      </w:r>
    </w:p>
    <w:p w14:paraId="42D1A699">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智力服务业。</w:t>
      </w:r>
      <w:r>
        <w:rPr>
          <w:rFonts w:hint="eastAsia" w:ascii="仿宋_GB2312" w:eastAsia="仿宋_GB2312"/>
          <w:bCs/>
          <w:sz w:val="34"/>
          <w:szCs w:val="34"/>
        </w:rPr>
        <w:t>整合智力资源，</w:t>
      </w:r>
      <w:r>
        <w:rPr>
          <w:rFonts w:hint="eastAsia" w:ascii="仿宋_GB2312" w:eastAsia="仿宋_GB2312"/>
          <w:sz w:val="34"/>
          <w:szCs w:val="34"/>
        </w:rPr>
        <w:t>引进国际高端设计机构，打造跨行业、跨地区的设计产业链条。推动工业设计产业发展。集聚品牌律师事务所，提升城区法律服务业的层次与规模。引进国内外知名教育培训机构总部，建设特色教育培训基地。支持人力资源、会计审计、信息咨询等行业加快发展。发挥城区智力要素的聚合作用和辐射效应。</w:t>
      </w:r>
    </w:p>
    <w:p w14:paraId="57C3C811">
      <w:pPr>
        <w:adjustRightInd w:val="0"/>
        <w:spacing w:line="600" w:lineRule="exact"/>
        <w:ind w:firstLine="680" w:firstLineChars="200"/>
        <w:outlineLvl w:val="1"/>
        <w:rPr>
          <w:rFonts w:hint="eastAsia" w:ascii="黑体" w:hAnsi="黑体" w:eastAsia="黑体"/>
          <w:kern w:val="0"/>
          <w:sz w:val="34"/>
          <w:szCs w:val="34"/>
        </w:rPr>
      </w:pPr>
      <w:bookmarkStart w:id="45" w:name="_Toc438036587"/>
      <w:bookmarkStart w:id="46" w:name="_Toc438450589"/>
      <w:bookmarkStart w:id="47" w:name="_Toc439276700"/>
      <w:r>
        <w:rPr>
          <w:rFonts w:hint="eastAsia" w:ascii="黑体" w:hAnsi="黑体" w:eastAsia="黑体"/>
          <w:kern w:val="0"/>
          <w:sz w:val="34"/>
          <w:szCs w:val="34"/>
        </w:rPr>
        <w:t>三、积极发展经济新业态</w:t>
      </w:r>
      <w:bookmarkEnd w:id="45"/>
      <w:bookmarkEnd w:id="46"/>
      <w:bookmarkEnd w:id="47"/>
    </w:p>
    <w:p w14:paraId="0C71F430">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创新经济。</w:t>
      </w:r>
      <w:r>
        <w:rPr>
          <w:rFonts w:hint="eastAsia" w:ascii="仿宋_GB2312" w:eastAsia="仿宋_GB2312"/>
          <w:sz w:val="34"/>
          <w:szCs w:val="34"/>
        </w:rPr>
        <w:t>发挥市场在资源配置中的决定性作用，加快形成保护竞争和促进创新的体制机制。坚持以思维创新推动产业创新、业态创新、商业模式创新，培育创新型企业，推出更多创新成果，支撑和驱动实体经济快速发展。发挥民营经济在创新发展中的生力军作用。</w:t>
      </w:r>
    </w:p>
    <w:p w14:paraId="66D13DEA">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分享经济。</w:t>
      </w:r>
      <w:r>
        <w:rPr>
          <w:rFonts w:hint="eastAsia" w:ascii="仿宋_GB2312" w:eastAsia="仿宋_GB2312"/>
          <w:sz w:val="34"/>
          <w:szCs w:val="34"/>
        </w:rPr>
        <w:t>实施“互联网+”行动计划，拓展网络经济空间，整合存量商务楼宇、文化教育、体育健身、养老医疗等市场资源要素，搭建以需求为导向、以互联网技术为支撑的在线服务平台，通过线上线下（O2O）相结合模式，引导长期闲置资源重新进入流通领域。</w:t>
      </w:r>
    </w:p>
    <w:p w14:paraId="2327512F">
      <w:pPr>
        <w:adjustRightInd w:val="0"/>
        <w:spacing w:line="600" w:lineRule="exact"/>
        <w:ind w:firstLine="683" w:firstLineChars="200"/>
        <w:rPr>
          <w:rFonts w:hint="eastAsia" w:ascii="仿宋_GB2312" w:eastAsia="仿宋_GB2312"/>
          <w:sz w:val="34"/>
          <w:szCs w:val="34"/>
        </w:rPr>
      </w:pPr>
      <w:r>
        <w:rPr>
          <w:rFonts w:hint="eastAsia" w:ascii="楷体_GB2312" w:eastAsia="楷体_GB2312"/>
          <w:b/>
          <w:bCs/>
          <w:sz w:val="34"/>
          <w:szCs w:val="34"/>
        </w:rPr>
        <w:t>平台经济。</w:t>
      </w:r>
      <w:r>
        <w:rPr>
          <w:rFonts w:hint="eastAsia" w:ascii="仿宋_GB2312" w:eastAsia="仿宋_GB2312"/>
          <w:sz w:val="34"/>
          <w:szCs w:val="34"/>
        </w:rPr>
        <w:t>聚焦大连市建设“四个中心、一个聚集区”的发展目标，立足西岗区电子商务、现代物流、非银行金融等特色产业优势，培育具有区域影响力和竞争优势的平台经济产业和企业品牌，强化平台经济对上下游产业的双向带动和统筹整合功能，推动大平台、大市场、大流通融合发展。</w:t>
      </w:r>
    </w:p>
    <w:p w14:paraId="653D68A5">
      <w:pPr>
        <w:spacing w:line="600" w:lineRule="exact"/>
        <w:ind w:firstLine="683" w:firstLineChars="200"/>
        <w:rPr>
          <w:rFonts w:hint="eastAsia" w:ascii="仿宋_GB2312" w:eastAsia="仿宋_GB2312"/>
          <w:sz w:val="34"/>
          <w:szCs w:val="34"/>
        </w:rPr>
      </w:pPr>
      <w:r>
        <w:rPr>
          <w:rFonts w:hint="eastAsia" w:ascii="楷体_GB2312" w:eastAsia="楷体_GB2312"/>
          <w:b/>
          <w:sz w:val="34"/>
          <w:szCs w:val="34"/>
        </w:rPr>
        <w:t>开放型经济。</w:t>
      </w:r>
      <w:r>
        <w:rPr>
          <w:rFonts w:hint="eastAsia" w:ascii="仿宋_GB2312" w:eastAsia="仿宋_GB2312"/>
          <w:sz w:val="34"/>
          <w:szCs w:val="34"/>
        </w:rPr>
        <w:t>优化招商方式，突出精准招商，坚持引资和引技引智并举，加强产业链招商和产业集群招商。大力开拓国际市场，坚持“科技兴贸”和“质量取胜”，鼓励企业从单一商品出口向“商品+服务”出口转变，培育外贸竞争新优势，支持企业开展对外投资和跨国经营。加强与东北四省区及东北亚地区在商贸、物流、金融等领域的开发合作与协同发展。</w:t>
      </w:r>
    </w:p>
    <w:p w14:paraId="2E64A205">
      <w:pPr>
        <w:adjustRightInd w:val="0"/>
        <w:spacing w:before="468" w:beforeLines="150" w:after="156" w:afterLines="50" w:line="600" w:lineRule="exact"/>
        <w:jc w:val="center"/>
        <w:outlineLvl w:val="0"/>
        <w:rPr>
          <w:rFonts w:hint="eastAsia" w:ascii="黑体" w:hAnsi="黑体" w:eastAsia="黑体"/>
          <w:sz w:val="34"/>
          <w:szCs w:val="34"/>
        </w:rPr>
      </w:pPr>
      <w:bookmarkStart w:id="48" w:name="_Toc439276701"/>
      <w:r>
        <w:rPr>
          <w:rFonts w:hint="eastAsia" w:ascii="黑体" w:hAnsi="黑体" w:eastAsia="黑体"/>
          <w:sz w:val="34"/>
          <w:szCs w:val="34"/>
        </w:rPr>
        <w:t>第六章  建设社会共享发展的先行区</w:t>
      </w:r>
      <w:bookmarkEnd w:id="48"/>
    </w:p>
    <w:p w14:paraId="6617CBE2">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坚持以社会需求为导向，推动全方位创新，建立社会资本参与机制，打造惠民公共服务品牌，增加服务供给，促进服务均等，注重机会公平，实现区域共享发展。</w:t>
      </w:r>
      <w:bookmarkStart w:id="49" w:name="_Toc434499013"/>
    </w:p>
    <w:p w14:paraId="70550D8B">
      <w:pPr>
        <w:adjustRightInd w:val="0"/>
        <w:spacing w:line="600" w:lineRule="exact"/>
        <w:ind w:firstLine="680" w:firstLineChars="200"/>
        <w:outlineLvl w:val="1"/>
        <w:rPr>
          <w:rFonts w:hint="eastAsia" w:ascii="黑体" w:hAnsi="黑体" w:eastAsia="黑体"/>
          <w:kern w:val="0"/>
          <w:sz w:val="34"/>
          <w:szCs w:val="34"/>
        </w:rPr>
      </w:pPr>
      <w:bookmarkStart w:id="50" w:name="_Toc439276702"/>
      <w:r>
        <w:rPr>
          <w:rFonts w:hint="eastAsia" w:ascii="黑体" w:hAnsi="黑体" w:eastAsia="黑体"/>
          <w:kern w:val="0"/>
          <w:sz w:val="34"/>
          <w:szCs w:val="34"/>
        </w:rPr>
        <w:t>一</w:t>
      </w:r>
      <w:bookmarkEnd w:id="49"/>
      <w:r>
        <w:rPr>
          <w:rFonts w:hint="eastAsia" w:ascii="黑体" w:hAnsi="黑体" w:eastAsia="黑体"/>
          <w:kern w:val="0"/>
          <w:sz w:val="34"/>
          <w:szCs w:val="34"/>
        </w:rPr>
        <w:t>、高起点推进基础教育发展</w:t>
      </w:r>
      <w:bookmarkEnd w:id="50"/>
    </w:p>
    <w:p w14:paraId="64E63C90">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树立区域大教育观，确立“新生态教育”理念，加大教育教学改革创新，创立“互联网+教育”新模式，推进教育现代化。优化教育资源布局，稳步提高教育质量。大力发展公办幼儿园，实施普惠性民办幼儿园扶持政策。深入推进中小学教育内涵式均衡发展，初步建成现代学校管理制度。加强素质教育，推动特色学校建设。引导民办教育健康发展。优化特殊教育体系。发挥“知校”智慧教育云平台作用，继续探索家校共育模式，构建以学生发展为本、以学校发展为核心、多主体协同参与的区域教育新生态。推进共青团、妇女儿童、科普和关心下一代事业与基础教育融合发展。</w:t>
      </w:r>
    </w:p>
    <w:p w14:paraId="21561AFD">
      <w:pPr>
        <w:adjustRightInd w:val="0"/>
        <w:spacing w:line="600" w:lineRule="exact"/>
        <w:ind w:firstLine="680" w:firstLineChars="200"/>
        <w:outlineLvl w:val="1"/>
        <w:rPr>
          <w:rFonts w:hint="eastAsia" w:ascii="黑体" w:hAnsi="黑体" w:eastAsia="黑体"/>
          <w:kern w:val="0"/>
          <w:sz w:val="34"/>
          <w:szCs w:val="34"/>
        </w:rPr>
      </w:pPr>
      <w:bookmarkStart w:id="51" w:name="_Toc434499014"/>
      <w:bookmarkStart w:id="52" w:name="_Toc439276703"/>
      <w:r>
        <w:rPr>
          <w:rFonts w:hint="eastAsia" w:ascii="黑体" w:hAnsi="黑体" w:eastAsia="黑体"/>
          <w:kern w:val="0"/>
          <w:sz w:val="34"/>
          <w:szCs w:val="34"/>
        </w:rPr>
        <w:t>二</w:t>
      </w:r>
      <w:bookmarkEnd w:id="51"/>
      <w:r>
        <w:rPr>
          <w:rFonts w:hint="eastAsia" w:ascii="黑体" w:hAnsi="黑体" w:eastAsia="黑体"/>
          <w:kern w:val="0"/>
          <w:sz w:val="34"/>
          <w:szCs w:val="34"/>
        </w:rPr>
        <w:t>、高质量构建社会保障体系</w:t>
      </w:r>
      <w:bookmarkEnd w:id="52"/>
    </w:p>
    <w:p w14:paraId="554737B1">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建设以“普惠型社会福利”为核心的社会保障服务体系，构建社会救助“一门受理、协同办理”工作格局。实现各类社会救助项目居民经济状况核对审查全覆盖。加强健康养老服务供给能力建设，引进社会力量参与社区及其他养老设施运营，到2020年，全面建成以居家为基础、社区为依托、机构为支撑、信息为辅助的养老服务体系。全力推进融合式双拥优抚体系建设，争创省双拥共建模范区九连冠。提高防灾、减灾和应急救助能力水平，争创全国综合减灾示范社区。多元化发展社会组织，推动慈善事业持续健康发展。促进民族宗教、档案、残疾人事业发展与城区经济社会同步。加强国防动员能力建设，推动军民融和发展。</w:t>
      </w:r>
    </w:p>
    <w:p w14:paraId="67D95641">
      <w:pPr>
        <w:adjustRightInd w:val="0"/>
        <w:spacing w:line="600" w:lineRule="exact"/>
        <w:ind w:firstLine="680" w:firstLineChars="200"/>
        <w:outlineLvl w:val="1"/>
        <w:rPr>
          <w:rFonts w:hint="eastAsia" w:ascii="黑体" w:hAnsi="黑体" w:eastAsia="黑体"/>
          <w:kern w:val="0"/>
          <w:sz w:val="34"/>
          <w:szCs w:val="34"/>
        </w:rPr>
      </w:pPr>
      <w:bookmarkStart w:id="53" w:name="_Toc439276704"/>
      <w:r>
        <w:rPr>
          <w:rFonts w:hint="eastAsia" w:ascii="黑体" w:hAnsi="黑体" w:eastAsia="黑体"/>
          <w:kern w:val="0"/>
          <w:sz w:val="34"/>
          <w:szCs w:val="34"/>
        </w:rPr>
        <w:t>三、高水平完善创业就业机制</w:t>
      </w:r>
      <w:bookmarkEnd w:id="53"/>
    </w:p>
    <w:p w14:paraId="1CFAA376">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坚持稳定就业与扩大就业并举，多渠道挖掘优质岗位，努力实现产业结构与就业结构的良性互动。完善创业促进就业配套政策，强化创业指导和创业服务，实施“创业三个一”工程。以创建“充分就业社区”为抓手，落实面向所有困难群体的就业援助制度。深化就业见习基地建设，搭建高校毕业生提升就业技能平台。完善全员技能培训制度，逐步建立高技能实用型人才培养使用机制。加大公务员教育培训工作力度。充分发挥工会作用，完善劳动关系多方协调机制。在部分机关事业单位和重点企业设立劳动人事仲裁机构。全面推行劳动保障诚信等级评价制度。做好企业军转干部解困和稳定工作。</w:t>
      </w:r>
    </w:p>
    <w:p w14:paraId="74D9DFB9">
      <w:pPr>
        <w:adjustRightInd w:val="0"/>
        <w:spacing w:line="600" w:lineRule="exact"/>
        <w:ind w:firstLine="680" w:firstLineChars="200"/>
        <w:outlineLvl w:val="1"/>
        <w:rPr>
          <w:rFonts w:hint="eastAsia" w:ascii="黑体" w:hAnsi="黑体" w:eastAsia="黑体"/>
          <w:kern w:val="0"/>
          <w:sz w:val="34"/>
          <w:szCs w:val="34"/>
        </w:rPr>
      </w:pPr>
      <w:bookmarkStart w:id="54" w:name="_Toc434499015"/>
      <w:bookmarkStart w:id="55" w:name="_Toc439276705"/>
      <w:r>
        <w:rPr>
          <w:rFonts w:hint="eastAsia" w:ascii="黑体" w:hAnsi="黑体" w:eastAsia="黑体"/>
          <w:kern w:val="0"/>
          <w:sz w:val="34"/>
          <w:szCs w:val="34"/>
        </w:rPr>
        <w:t>四</w:t>
      </w:r>
      <w:bookmarkEnd w:id="54"/>
      <w:r>
        <w:rPr>
          <w:rFonts w:hint="eastAsia" w:ascii="黑体" w:hAnsi="黑体" w:eastAsia="黑体"/>
          <w:kern w:val="0"/>
          <w:sz w:val="34"/>
          <w:szCs w:val="34"/>
        </w:rPr>
        <w:t>、高层次提升公共卫生服务</w:t>
      </w:r>
      <w:bookmarkEnd w:id="55"/>
    </w:p>
    <w:p w14:paraId="6D902843">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优化医疗资源布局，加强重点专科建设，提升“700米医疗服务圈”内涵。组建区域性医疗联合体，推进基层首诊、分级诊疗制度。强化社区基本公共卫生服务职能，促进公共卫生服务均等化。开展以家庭医生契约式服务为核心的“便捷365”服务和智慧化“医养融合”服务。加快中医药事业发展，中医药服务量达基层医疗服务总量30%。提高疾病预防控制水平和卫生应急处置能力。提升人口管理和人口服务质量。加强区域人口健康信息平台建设和基层医疗卫生信息化建设。推进卫生监督执法网格化、量化分级管理和信息公示制度。完善计划生育服务体系。推进全国健康促进区、国家艾滋病综合防治示范区建设。促进红十字事业创新发展。</w:t>
      </w:r>
    </w:p>
    <w:p w14:paraId="1B9F0784">
      <w:pPr>
        <w:adjustRightInd w:val="0"/>
        <w:spacing w:line="600" w:lineRule="exact"/>
        <w:ind w:firstLine="680" w:firstLineChars="200"/>
        <w:outlineLvl w:val="1"/>
        <w:rPr>
          <w:rFonts w:hint="eastAsia" w:ascii="黑体" w:hAnsi="黑体" w:eastAsia="黑体"/>
          <w:kern w:val="0"/>
          <w:sz w:val="34"/>
          <w:szCs w:val="34"/>
        </w:rPr>
      </w:pPr>
      <w:bookmarkStart w:id="56" w:name="_Toc439276706"/>
      <w:r>
        <w:rPr>
          <w:rFonts w:hint="eastAsia" w:ascii="黑体" w:hAnsi="黑体" w:eastAsia="黑体"/>
          <w:kern w:val="0"/>
          <w:sz w:val="34"/>
          <w:szCs w:val="34"/>
        </w:rPr>
        <w:t>五、高品质打造生态宜居城区</w:t>
      </w:r>
      <w:bookmarkEnd w:id="56"/>
    </w:p>
    <w:p w14:paraId="2641D858">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以创造优良人居环境为目标，坚持建设与管理水平同步提升。稳步推进旧城区改造，利用南北海岸、历史街区、特色楼院等资源优化城区景观，提升城区特色和宜居性。实施山林、社区、小街巷路绿化工程，合理栽植绿化树木、花卉和草坪，高质量建设山体公园，全方位打造绿色生态环境。继续实施“暖房子”工程，推进供热系统改造和智慧供热远程监控系统建设。完善城区交通、市政等基础设施，新建一批公共停车场，进一步提升改造楼院环境。加大市容环境综合整治力度。加强建筑行业管理，推进物业矛盾纠纷调解工作。建设智慧城管系统，实现信息化指挥、网格化管理、精量化定责、精准化操作。做好节能和应对气候变化工作，加强污染物减排管理，让城区发展更加健康有序。推进消防、人防、交通工作。强化安全监管，争创大连市安全发展示范城区。</w:t>
      </w:r>
    </w:p>
    <w:p w14:paraId="66C4B6D9">
      <w:pPr>
        <w:adjustRightInd w:val="0"/>
        <w:spacing w:line="600" w:lineRule="exact"/>
        <w:rPr>
          <w:rFonts w:hint="eastAsia" w:ascii="黑体" w:eastAsia="黑体" w:cs="黑体"/>
          <w:sz w:val="28"/>
          <w:szCs w:val="30"/>
        </w:rPr>
      </w:pPr>
    </w:p>
    <w:p w14:paraId="4032CE19">
      <w:pPr>
        <w:adjustRightInd w:val="0"/>
        <w:spacing w:line="600" w:lineRule="exact"/>
        <w:rPr>
          <w:rFonts w:hint="eastAsia" w:ascii="黑体" w:eastAsia="黑体" w:cs="黑体"/>
          <w:sz w:val="28"/>
          <w:szCs w:val="30"/>
        </w:rPr>
      </w:pPr>
      <w:r>
        <w:rPr>
          <w:rFonts w:hint="eastAsia" w:ascii="仿宋_GB2312" w:eastAsia="仿宋_GB2312"/>
          <w:sz w:val="34"/>
          <w:szCs w:val="34"/>
        </w:rPr>
        <mc:AlternateContent>
          <mc:Choice Requires="wps">
            <w:drawing>
              <wp:inline distT="0" distB="0" distL="114300" distR="114300">
                <wp:extent cx="5518785" cy="1570990"/>
                <wp:effectExtent l="4445" t="4445" r="20320" b="5715"/>
                <wp:docPr id="2" name="文本框 19"/>
                <wp:cNvGraphicFramePr/>
                <a:graphic xmlns:a="http://schemas.openxmlformats.org/drawingml/2006/main">
                  <a:graphicData uri="http://schemas.microsoft.com/office/word/2010/wordprocessingShape">
                    <wps:wsp>
                      <wps:cNvSpPr txBox="1">
                        <a:spLocks noRot="1"/>
                      </wps:cNvSpPr>
                      <wps:spPr>
                        <a:xfrm>
                          <a:off x="0" y="0"/>
                          <a:ext cx="5518785" cy="1570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DC73E">
                            <w:pPr>
                              <w:jc w:val="center"/>
                              <w:rPr>
                                <w:rFonts w:ascii="黑体" w:eastAsia="黑体"/>
                                <w:sz w:val="28"/>
                                <w:szCs w:val="30"/>
                              </w:rPr>
                            </w:pPr>
                            <w:r>
                              <w:rPr>
                                <w:rFonts w:hint="eastAsia" w:ascii="黑体" w:eastAsia="黑体" w:cs="黑体"/>
                                <w:sz w:val="28"/>
                                <w:szCs w:val="30"/>
                              </w:rPr>
                              <w:t>专栏6</w:t>
                            </w:r>
                            <w:r>
                              <w:rPr>
                                <w:rFonts w:ascii="黑体" w:eastAsia="黑体" w:cs="黑体"/>
                                <w:sz w:val="28"/>
                                <w:szCs w:val="30"/>
                              </w:rPr>
                              <w:t xml:space="preserve">  </w:t>
                            </w:r>
                            <w:r>
                              <w:rPr>
                                <w:rFonts w:hint="eastAsia" w:ascii="黑体" w:eastAsia="黑体" w:cs="黑体"/>
                                <w:sz w:val="28"/>
                                <w:szCs w:val="30"/>
                              </w:rPr>
                              <w:t>安全生产重点工程</w:t>
                            </w:r>
                          </w:p>
                          <w:p w14:paraId="65698EB3">
                            <w:pPr>
                              <w:spacing w:line="400" w:lineRule="exact"/>
                              <w:ind w:firstLine="840" w:firstLineChars="400"/>
                              <w:rPr>
                                <w:rFonts w:hint="eastAsia" w:ascii="宋体" w:hAnsi="宋体" w:cs="仿宋_GB2312"/>
                              </w:rPr>
                            </w:pPr>
                            <w:r>
                              <w:rPr>
                                <w:rFonts w:hint="eastAsia" w:ascii="宋体" w:hAnsi="宋体" w:cs="仿宋_GB2312"/>
                              </w:rPr>
                              <w:t>1、健全安全生产责任体系工程；</w:t>
                            </w:r>
                          </w:p>
                          <w:p w14:paraId="6BFB014D">
                            <w:pPr>
                              <w:spacing w:line="400" w:lineRule="exact"/>
                              <w:ind w:firstLine="840" w:firstLineChars="400"/>
                              <w:rPr>
                                <w:rFonts w:hint="eastAsia" w:ascii="宋体" w:hAnsi="宋体" w:cs="仿宋_GB2312"/>
                              </w:rPr>
                            </w:pPr>
                            <w:r>
                              <w:rPr>
                                <w:rFonts w:hint="eastAsia" w:ascii="宋体" w:hAnsi="宋体" w:cs="仿宋_GB2312"/>
                              </w:rPr>
                              <w:t>2、安监系统队伍规范化建设工程；</w:t>
                            </w:r>
                          </w:p>
                          <w:p w14:paraId="7189DE40">
                            <w:pPr>
                              <w:spacing w:line="400" w:lineRule="exact"/>
                              <w:ind w:firstLine="840" w:firstLineChars="400"/>
                              <w:rPr>
                                <w:rFonts w:hint="eastAsia" w:ascii="宋体" w:hAnsi="宋体" w:cs="仿宋_GB2312"/>
                              </w:rPr>
                            </w:pPr>
                            <w:r>
                              <w:rPr>
                                <w:rFonts w:hint="eastAsia" w:ascii="宋体" w:hAnsi="宋体" w:cs="仿宋_GB2312"/>
                              </w:rPr>
                              <w:t>3、安全生产大检查和隐患排查整治工程；</w:t>
                            </w:r>
                          </w:p>
                          <w:p w14:paraId="03D577BC">
                            <w:pPr>
                              <w:spacing w:line="400" w:lineRule="exact"/>
                              <w:ind w:firstLine="840" w:firstLineChars="400"/>
                              <w:rPr>
                                <w:rFonts w:ascii="宋体" w:hAnsi="宋体"/>
                              </w:rPr>
                            </w:pPr>
                            <w:r>
                              <w:rPr>
                                <w:rFonts w:hint="eastAsia" w:ascii="宋体" w:hAnsi="宋体" w:cs="仿宋_GB2312"/>
                              </w:rPr>
                              <w:t>4、安全社区建设工程。</w:t>
                            </w:r>
                          </w:p>
                        </w:txbxContent>
                      </wps:txbx>
                      <wps:bodyPr wrap="square" upright="1"/>
                    </wps:wsp>
                  </a:graphicData>
                </a:graphic>
              </wp:inline>
            </w:drawing>
          </mc:Choice>
          <mc:Fallback>
            <w:pict>
              <v:shape id="文本框 19" o:spid="_x0000_s1026" o:spt="202" type="#_x0000_t202" style="height:123.7pt;width:434.55pt;" fillcolor="#FFFFFF" filled="t" stroked="t" coordsize="21600,21600" o:gfxdata="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u9&#10;YGDXAAAABQEAAA8AAAAAAAAAAQAgAAAAIgAAAGRycy9kb3ducmV2LnhtbFBLAQIUABQAAAAIAIdO&#10;4kCjeM25JAIAAGkEAAAOAAAAAAAAAAEAIAAAACYBAABkcnMvZTJvRG9jLnhtbFBLBQYAAAAABgAG&#10;AFkBAAC8BQAAAAA=&#10;">
                <v:fill on="t" focussize="0,0"/>
                <v:stroke color="#000000" joinstyle="miter"/>
                <v:imagedata o:title=""/>
                <o:lock v:ext="edit" rotation="t" aspectratio="f"/>
                <v:textbox>
                  <w:txbxContent>
                    <w:p w14:paraId="3E7DC73E">
                      <w:pPr>
                        <w:jc w:val="center"/>
                        <w:rPr>
                          <w:rFonts w:ascii="黑体" w:eastAsia="黑体"/>
                          <w:sz w:val="28"/>
                          <w:szCs w:val="30"/>
                        </w:rPr>
                      </w:pPr>
                      <w:r>
                        <w:rPr>
                          <w:rFonts w:hint="eastAsia" w:ascii="黑体" w:eastAsia="黑体" w:cs="黑体"/>
                          <w:sz w:val="28"/>
                          <w:szCs w:val="30"/>
                        </w:rPr>
                        <w:t>专栏6</w:t>
                      </w:r>
                      <w:r>
                        <w:rPr>
                          <w:rFonts w:ascii="黑体" w:eastAsia="黑体" w:cs="黑体"/>
                          <w:sz w:val="28"/>
                          <w:szCs w:val="30"/>
                        </w:rPr>
                        <w:t xml:space="preserve">  </w:t>
                      </w:r>
                      <w:r>
                        <w:rPr>
                          <w:rFonts w:hint="eastAsia" w:ascii="黑体" w:eastAsia="黑体" w:cs="黑体"/>
                          <w:sz w:val="28"/>
                          <w:szCs w:val="30"/>
                        </w:rPr>
                        <w:t>安全生产重点工程</w:t>
                      </w:r>
                    </w:p>
                    <w:p w14:paraId="65698EB3">
                      <w:pPr>
                        <w:spacing w:line="400" w:lineRule="exact"/>
                        <w:ind w:firstLine="840" w:firstLineChars="400"/>
                        <w:rPr>
                          <w:rFonts w:hint="eastAsia" w:ascii="宋体" w:hAnsi="宋体" w:cs="仿宋_GB2312"/>
                        </w:rPr>
                      </w:pPr>
                      <w:r>
                        <w:rPr>
                          <w:rFonts w:hint="eastAsia" w:ascii="宋体" w:hAnsi="宋体" w:cs="仿宋_GB2312"/>
                        </w:rPr>
                        <w:t>1、健全安全生产责任体系工程；</w:t>
                      </w:r>
                    </w:p>
                    <w:p w14:paraId="6BFB014D">
                      <w:pPr>
                        <w:spacing w:line="400" w:lineRule="exact"/>
                        <w:ind w:firstLine="840" w:firstLineChars="400"/>
                        <w:rPr>
                          <w:rFonts w:hint="eastAsia" w:ascii="宋体" w:hAnsi="宋体" w:cs="仿宋_GB2312"/>
                        </w:rPr>
                      </w:pPr>
                      <w:r>
                        <w:rPr>
                          <w:rFonts w:hint="eastAsia" w:ascii="宋体" w:hAnsi="宋体" w:cs="仿宋_GB2312"/>
                        </w:rPr>
                        <w:t>2、安监系统队伍规范化建设工程；</w:t>
                      </w:r>
                    </w:p>
                    <w:p w14:paraId="7189DE40">
                      <w:pPr>
                        <w:spacing w:line="400" w:lineRule="exact"/>
                        <w:ind w:firstLine="840" w:firstLineChars="400"/>
                        <w:rPr>
                          <w:rFonts w:hint="eastAsia" w:ascii="宋体" w:hAnsi="宋体" w:cs="仿宋_GB2312"/>
                        </w:rPr>
                      </w:pPr>
                      <w:r>
                        <w:rPr>
                          <w:rFonts w:hint="eastAsia" w:ascii="宋体" w:hAnsi="宋体" w:cs="仿宋_GB2312"/>
                        </w:rPr>
                        <w:t>3、安全生产大检查和隐患排查整治工程；</w:t>
                      </w:r>
                    </w:p>
                    <w:p w14:paraId="03D577BC">
                      <w:pPr>
                        <w:spacing w:line="400" w:lineRule="exact"/>
                        <w:ind w:firstLine="840" w:firstLineChars="400"/>
                        <w:rPr>
                          <w:rFonts w:ascii="宋体" w:hAnsi="宋体"/>
                        </w:rPr>
                      </w:pPr>
                      <w:r>
                        <w:rPr>
                          <w:rFonts w:hint="eastAsia" w:ascii="宋体" w:hAnsi="宋体" w:cs="仿宋_GB2312"/>
                        </w:rPr>
                        <w:t>4、安全社区建设工程。</w:t>
                      </w:r>
                    </w:p>
                  </w:txbxContent>
                </v:textbox>
                <w10:wrap type="none"/>
                <w10:anchorlock/>
              </v:shape>
            </w:pict>
          </mc:Fallback>
        </mc:AlternateContent>
      </w:r>
    </w:p>
    <w:p w14:paraId="0E6BF065">
      <w:pPr>
        <w:adjustRightInd w:val="0"/>
        <w:spacing w:line="600" w:lineRule="exact"/>
        <w:rPr>
          <w:rFonts w:hint="eastAsia" w:ascii="黑体" w:eastAsia="黑体" w:cs="黑体"/>
          <w:sz w:val="28"/>
          <w:szCs w:val="30"/>
        </w:rPr>
      </w:pPr>
    </w:p>
    <w:p w14:paraId="56E8D9AB">
      <w:pPr>
        <w:adjustRightInd w:val="0"/>
        <w:spacing w:line="600" w:lineRule="exact"/>
        <w:rPr>
          <w:rFonts w:hint="eastAsia" w:ascii="黑体" w:eastAsia="黑体" w:cs="黑体"/>
          <w:sz w:val="28"/>
          <w:szCs w:val="30"/>
        </w:rPr>
      </w:pPr>
    </w:p>
    <w:p w14:paraId="006D6CC9">
      <w:pPr>
        <w:adjustRightInd w:val="0"/>
        <w:spacing w:line="600" w:lineRule="exact"/>
        <w:outlineLvl w:val="1"/>
        <w:rPr>
          <w:rFonts w:hint="eastAsia" w:ascii="仿宋_GB2312" w:eastAsia="仿宋_GB2312"/>
          <w:kern w:val="0"/>
          <w:sz w:val="34"/>
          <w:szCs w:val="34"/>
        </w:rPr>
      </w:pPr>
      <w:bookmarkStart w:id="57" w:name="_Toc439276707"/>
    </w:p>
    <w:p w14:paraId="433D2312">
      <w:pPr>
        <w:adjustRightInd w:val="0"/>
        <w:spacing w:line="600" w:lineRule="exact"/>
        <w:ind w:firstLine="680" w:firstLineChars="200"/>
        <w:outlineLvl w:val="1"/>
        <w:rPr>
          <w:rFonts w:hint="eastAsia" w:ascii="黑体" w:hAnsi="黑体" w:eastAsia="黑体"/>
          <w:kern w:val="0"/>
          <w:sz w:val="34"/>
          <w:szCs w:val="34"/>
        </w:rPr>
      </w:pPr>
      <w:r>
        <w:rPr>
          <w:rFonts w:hint="eastAsia" w:ascii="黑体" w:hAnsi="黑体" w:eastAsia="黑体"/>
          <w:kern w:val="0"/>
          <w:sz w:val="34"/>
          <w:szCs w:val="34"/>
        </w:rPr>
        <w:t>六、高标准强化市场监督管理</w:t>
      </w:r>
      <w:bookmarkEnd w:id="57"/>
    </w:p>
    <w:p w14:paraId="2F673EA6">
      <w:pPr>
        <w:adjustRightInd w:val="0"/>
        <w:spacing w:line="600" w:lineRule="exact"/>
        <w:ind w:firstLine="680" w:firstLineChars="200"/>
        <w:jc w:val="left"/>
        <w:rPr>
          <w:rFonts w:hint="eastAsia" w:ascii="黑体" w:eastAsia="黑体" w:cs="黑体"/>
          <w:sz w:val="28"/>
          <w:szCs w:val="30"/>
        </w:rPr>
      </w:pPr>
      <w:r>
        <w:rPr>
          <w:rFonts w:hint="eastAsia" w:ascii="仿宋_GB2312" w:eastAsia="仿宋_GB2312"/>
          <w:sz w:val="34"/>
          <w:szCs w:val="34"/>
        </w:rPr>
        <w:t>坚持共治共管，加大事中事后监管力度，提升诚信经营水平，推动形成公平有序的市场环境。完善市场监管综合协调体系，提升市场风险管控水平和管理技术支撑能力。建立市场经营宣教培育体系，积极引导市场主体落实生产经营主体责任。加强无证无照、传销、网络经营动态管控，健全消费者权益保护机制，强化物价、城市管理执法。推进质量、品牌和标准化建设，加强侵权假冒、强制性标准执法监督，推动质量强区建设。实施食品药品安全重点工程，健全食品安全监管体系，引导社会广泛参与食品安全治理，构建“四位一体”的食品安全新格局，建成食品安全放心示范区。</w:t>
      </w:r>
    </w:p>
    <w:p w14:paraId="0554CA15">
      <w:pPr>
        <w:adjustRightInd w:val="0"/>
        <w:spacing w:line="600" w:lineRule="exact"/>
        <w:jc w:val="left"/>
        <w:rPr>
          <w:rFonts w:hint="eastAsia" w:ascii="黑体" w:eastAsia="黑体" w:cs="黑体"/>
          <w:sz w:val="28"/>
          <w:szCs w:val="30"/>
        </w:rPr>
      </w:pPr>
    </w:p>
    <w:p w14:paraId="0FB82DD3">
      <w:pPr>
        <w:adjustRightInd w:val="0"/>
        <w:spacing w:line="600" w:lineRule="exact"/>
        <w:jc w:val="left"/>
        <w:rPr>
          <w:rFonts w:hint="eastAsia" w:ascii="黑体" w:eastAsia="黑体" w:cs="黑体"/>
          <w:sz w:val="28"/>
          <w:szCs w:val="30"/>
        </w:rPr>
      </w:pPr>
    </w:p>
    <w:p w14:paraId="66BDC5C1">
      <w:pPr>
        <w:adjustRightInd w:val="0"/>
        <w:spacing w:line="600" w:lineRule="exact"/>
        <w:jc w:val="left"/>
        <w:rPr>
          <w:rFonts w:hint="eastAsia" w:ascii="黑体" w:eastAsia="黑体" w:cs="黑体"/>
          <w:sz w:val="28"/>
          <w:szCs w:val="30"/>
        </w:rPr>
      </w:pPr>
    </w:p>
    <w:p w14:paraId="3DA1160D">
      <w:pPr>
        <w:adjustRightInd w:val="0"/>
        <w:spacing w:line="600" w:lineRule="exact"/>
        <w:jc w:val="left"/>
        <w:rPr>
          <w:rFonts w:hint="eastAsia" w:ascii="黑体" w:eastAsia="黑体" w:cs="黑体"/>
          <w:sz w:val="28"/>
          <w:szCs w:val="30"/>
        </w:rPr>
      </w:pPr>
    </w:p>
    <w:p w14:paraId="27A9D01F">
      <w:pPr>
        <w:adjustRightInd w:val="0"/>
        <w:spacing w:line="600" w:lineRule="exact"/>
        <w:jc w:val="left"/>
        <w:rPr>
          <w:rFonts w:hint="eastAsia" w:ascii="黑体" w:eastAsia="黑体" w:cs="黑体"/>
          <w:sz w:val="28"/>
          <w:szCs w:val="30"/>
        </w:rPr>
      </w:pPr>
    </w:p>
    <w:p w14:paraId="01F6252A">
      <w:pPr>
        <w:adjustRightInd w:val="0"/>
        <w:spacing w:line="600" w:lineRule="exact"/>
        <w:jc w:val="left"/>
        <w:rPr>
          <w:rFonts w:hint="eastAsia" w:ascii="黑体" w:eastAsia="黑体" w:cs="黑体"/>
          <w:sz w:val="28"/>
          <w:szCs w:val="30"/>
        </w:rPr>
      </w:pPr>
    </w:p>
    <w:p w14:paraId="5948DE01">
      <w:pPr>
        <w:adjustRightInd w:val="0"/>
        <w:spacing w:line="600" w:lineRule="exact"/>
        <w:jc w:val="left"/>
        <w:rPr>
          <w:rFonts w:hint="eastAsia" w:ascii="黑体" w:eastAsia="黑体" w:cs="黑体"/>
          <w:sz w:val="28"/>
          <w:szCs w:val="30"/>
        </w:rPr>
      </w:pPr>
    </w:p>
    <w:p w14:paraId="3D5DAE08">
      <w:pPr>
        <w:adjustRightInd w:val="0"/>
        <w:spacing w:line="600" w:lineRule="exact"/>
        <w:jc w:val="left"/>
        <w:rPr>
          <w:rFonts w:hint="eastAsia" w:ascii="黑体" w:eastAsia="黑体" w:cs="黑体"/>
          <w:sz w:val="28"/>
          <w:szCs w:val="30"/>
        </w:rPr>
      </w:pPr>
    </w:p>
    <w:p w14:paraId="75FFFB7E">
      <w:pPr>
        <w:adjustRightInd w:val="0"/>
        <w:spacing w:line="600" w:lineRule="exact"/>
        <w:jc w:val="left"/>
        <w:rPr>
          <w:rFonts w:hint="eastAsia" w:ascii="黑体" w:eastAsia="黑体" w:cs="黑体"/>
          <w:sz w:val="28"/>
          <w:szCs w:val="30"/>
        </w:rPr>
      </w:pPr>
    </w:p>
    <w:p w14:paraId="375C95BD">
      <w:pPr>
        <w:adjustRightInd w:val="0"/>
        <w:spacing w:line="600" w:lineRule="exact"/>
        <w:jc w:val="left"/>
        <w:rPr>
          <w:rFonts w:hint="eastAsia" w:ascii="黑体" w:eastAsia="黑体" w:cs="黑体"/>
          <w:sz w:val="28"/>
          <w:szCs w:val="30"/>
        </w:rPr>
      </w:pPr>
      <w:r>
        <w:rPr>
          <w:rFonts w:hint="eastAsia" w:ascii="仿宋_GB2312" w:eastAsia="仿宋_GB2312"/>
          <w:sz w:val="34"/>
          <w:szCs w:val="34"/>
        </w:rPr>
        <mc:AlternateContent>
          <mc:Choice Requires="wps">
            <w:drawing>
              <wp:inline distT="0" distB="0" distL="114300" distR="114300">
                <wp:extent cx="5518785" cy="2763520"/>
                <wp:effectExtent l="4445" t="4445" r="20320" b="13335"/>
                <wp:docPr id="1" name="文本框 24"/>
                <wp:cNvGraphicFramePr/>
                <a:graphic xmlns:a="http://schemas.openxmlformats.org/drawingml/2006/main">
                  <a:graphicData uri="http://schemas.microsoft.com/office/word/2010/wordprocessingShape">
                    <wps:wsp>
                      <wps:cNvSpPr txBox="1">
                        <a:spLocks noRot="1"/>
                      </wps:cNvSpPr>
                      <wps:spPr>
                        <a:xfrm>
                          <a:off x="0" y="0"/>
                          <a:ext cx="5518785" cy="2763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55F764">
                            <w:pPr>
                              <w:jc w:val="center"/>
                              <w:rPr>
                                <w:rFonts w:ascii="黑体" w:eastAsia="黑体"/>
                                <w:sz w:val="28"/>
                                <w:szCs w:val="30"/>
                              </w:rPr>
                            </w:pPr>
                            <w:r>
                              <w:rPr>
                                <w:rFonts w:hint="eastAsia" w:ascii="黑体" w:eastAsia="黑体" w:cs="黑体"/>
                                <w:sz w:val="28"/>
                                <w:szCs w:val="30"/>
                              </w:rPr>
                              <w:t>专栏7</w:t>
                            </w:r>
                            <w:r>
                              <w:rPr>
                                <w:rFonts w:ascii="黑体" w:eastAsia="黑体" w:cs="黑体"/>
                                <w:sz w:val="28"/>
                                <w:szCs w:val="30"/>
                              </w:rPr>
                              <w:t xml:space="preserve">  </w:t>
                            </w:r>
                            <w:r>
                              <w:rPr>
                                <w:rFonts w:hint="eastAsia" w:ascii="黑体" w:eastAsia="黑体" w:cs="黑体"/>
                                <w:sz w:val="28"/>
                                <w:szCs w:val="30"/>
                              </w:rPr>
                              <w:t>食品药品安全重点工程</w:t>
                            </w:r>
                          </w:p>
                          <w:p w14:paraId="7017E33A">
                            <w:pPr>
                              <w:spacing w:line="380" w:lineRule="exact"/>
                              <w:ind w:firstLine="840" w:firstLineChars="400"/>
                              <w:rPr>
                                <w:rFonts w:hint="eastAsia"/>
                              </w:rPr>
                            </w:pPr>
                            <w:r>
                              <w:t>1、食品药品安全应急工程</w:t>
                            </w:r>
                            <w:r>
                              <w:rPr>
                                <w:rFonts w:hint="eastAsia"/>
                              </w:rPr>
                              <w:t>；</w:t>
                            </w:r>
                          </w:p>
                          <w:p w14:paraId="665F8432">
                            <w:pPr>
                              <w:spacing w:line="380" w:lineRule="exact"/>
                              <w:ind w:firstLine="840" w:firstLineChars="400"/>
                              <w:rPr>
                                <w:rFonts w:hint="eastAsia"/>
                              </w:rPr>
                            </w:pPr>
                            <w:r>
                              <w:t>2、食品药品检验监测达标工程</w:t>
                            </w:r>
                            <w:r>
                              <w:rPr>
                                <w:rFonts w:hint="eastAsia"/>
                              </w:rPr>
                              <w:t>；</w:t>
                            </w:r>
                          </w:p>
                          <w:p w14:paraId="13DA9D9E">
                            <w:pPr>
                              <w:spacing w:line="380" w:lineRule="exact"/>
                              <w:ind w:firstLine="840" w:firstLineChars="400"/>
                              <w:rPr>
                                <w:rFonts w:hint="eastAsia"/>
                              </w:rPr>
                            </w:pPr>
                            <w:r>
                              <w:t>3、食品安全快速检测提升工程</w:t>
                            </w:r>
                            <w:r>
                              <w:rPr>
                                <w:rFonts w:hint="eastAsia"/>
                              </w:rPr>
                              <w:t>；</w:t>
                            </w:r>
                          </w:p>
                          <w:p w14:paraId="524DC960">
                            <w:pPr>
                              <w:spacing w:line="380" w:lineRule="exact"/>
                              <w:ind w:firstLine="840" w:firstLineChars="400"/>
                              <w:rPr>
                                <w:rFonts w:hint="eastAsia"/>
                              </w:rPr>
                            </w:pPr>
                            <w:r>
                              <w:t>4、食品生产经营主体责任落实工程</w:t>
                            </w:r>
                            <w:r>
                              <w:rPr>
                                <w:rFonts w:hint="eastAsia"/>
                              </w:rPr>
                              <w:t>；</w:t>
                            </w:r>
                          </w:p>
                          <w:p w14:paraId="647DFDDD">
                            <w:pPr>
                              <w:spacing w:line="380" w:lineRule="exact"/>
                              <w:ind w:firstLine="840" w:firstLineChars="400"/>
                              <w:rPr>
                                <w:rFonts w:hint="eastAsia"/>
                              </w:rPr>
                            </w:pPr>
                            <w:r>
                              <w:t>5、食品安全“四小”升级改造工程</w:t>
                            </w:r>
                            <w:r>
                              <w:rPr>
                                <w:rFonts w:hint="eastAsia"/>
                              </w:rPr>
                              <w:t>；</w:t>
                            </w:r>
                          </w:p>
                          <w:p w14:paraId="07DF55BE">
                            <w:pPr>
                              <w:spacing w:line="380" w:lineRule="exact"/>
                              <w:ind w:firstLine="840" w:firstLineChars="400"/>
                              <w:rPr>
                                <w:rFonts w:hint="eastAsia"/>
                              </w:rPr>
                            </w:pPr>
                            <w:r>
                              <w:t>6、食品安全示范工程</w:t>
                            </w:r>
                            <w:r>
                              <w:rPr>
                                <w:rFonts w:hint="eastAsia"/>
                              </w:rPr>
                              <w:t>；</w:t>
                            </w:r>
                          </w:p>
                          <w:p w14:paraId="19BAE2E4">
                            <w:pPr>
                              <w:spacing w:line="380" w:lineRule="exact"/>
                              <w:ind w:firstLine="840" w:firstLineChars="400"/>
                              <w:rPr>
                                <w:rFonts w:hint="eastAsia"/>
                              </w:rPr>
                            </w:pPr>
                            <w:r>
                              <w:t>7、食品药品信息共享工程</w:t>
                            </w:r>
                            <w:r>
                              <w:rPr>
                                <w:rFonts w:hint="eastAsia"/>
                              </w:rPr>
                              <w:t>；</w:t>
                            </w:r>
                          </w:p>
                          <w:p w14:paraId="3BB86033">
                            <w:pPr>
                              <w:spacing w:line="380" w:lineRule="exact"/>
                              <w:ind w:firstLine="840" w:firstLineChars="400"/>
                              <w:rPr>
                                <w:rFonts w:hint="eastAsia"/>
                              </w:rPr>
                            </w:pPr>
                            <w:r>
                              <w:t>8、食品药品远程视频监控工程</w:t>
                            </w:r>
                            <w:r>
                              <w:rPr>
                                <w:rFonts w:hint="eastAsia"/>
                              </w:rPr>
                              <w:t>；</w:t>
                            </w:r>
                          </w:p>
                          <w:p w14:paraId="7B112898">
                            <w:pPr>
                              <w:spacing w:line="380" w:lineRule="exact"/>
                              <w:ind w:firstLine="840" w:firstLineChars="400"/>
                              <w:rPr>
                                <w:rFonts w:hint="eastAsia"/>
                              </w:rPr>
                            </w:pPr>
                            <w:r>
                              <w:t>9、食品药品监管执法装备达标工程</w:t>
                            </w:r>
                            <w:r>
                              <w:rPr>
                                <w:rFonts w:hint="eastAsia"/>
                              </w:rPr>
                              <w:t>。</w:t>
                            </w:r>
                          </w:p>
                        </w:txbxContent>
                      </wps:txbx>
                      <wps:bodyPr wrap="square" upright="1"/>
                    </wps:wsp>
                  </a:graphicData>
                </a:graphic>
              </wp:inline>
            </w:drawing>
          </mc:Choice>
          <mc:Fallback>
            <w:pict>
              <v:shape id="文本框 24" o:spid="_x0000_s1026" o:spt="202" type="#_x0000_t202" style="height:217.6pt;width:434.55pt;" fillcolor="#FFFFFF" filled="t" stroked="t" coordsize="21600,21600" o:gfxdata="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HGQs1gAAAAUBAAAPAAAAAAAAAAEAIAAAACIAAABkcnMvZG93bnJldi54bWxQSwECFAAUAAAACACH&#10;TuJAnhvnCSYCAABpBAAADgAAAAAAAAABACAAAAAlAQAAZHJzL2Uyb0RvYy54bWxQSwUGAAAAAAYA&#10;BgBZAQAAvQUAAAAA&#10;">
                <v:fill on="t" focussize="0,0"/>
                <v:stroke color="#000000" joinstyle="miter"/>
                <v:imagedata o:title=""/>
                <o:lock v:ext="edit" rotation="t" aspectratio="f"/>
                <v:textbox>
                  <w:txbxContent>
                    <w:p w14:paraId="2655F764">
                      <w:pPr>
                        <w:jc w:val="center"/>
                        <w:rPr>
                          <w:rFonts w:ascii="黑体" w:eastAsia="黑体"/>
                          <w:sz w:val="28"/>
                          <w:szCs w:val="30"/>
                        </w:rPr>
                      </w:pPr>
                      <w:r>
                        <w:rPr>
                          <w:rFonts w:hint="eastAsia" w:ascii="黑体" w:eastAsia="黑体" w:cs="黑体"/>
                          <w:sz w:val="28"/>
                          <w:szCs w:val="30"/>
                        </w:rPr>
                        <w:t>专栏7</w:t>
                      </w:r>
                      <w:r>
                        <w:rPr>
                          <w:rFonts w:ascii="黑体" w:eastAsia="黑体" w:cs="黑体"/>
                          <w:sz w:val="28"/>
                          <w:szCs w:val="30"/>
                        </w:rPr>
                        <w:t xml:space="preserve">  </w:t>
                      </w:r>
                      <w:r>
                        <w:rPr>
                          <w:rFonts w:hint="eastAsia" w:ascii="黑体" w:eastAsia="黑体" w:cs="黑体"/>
                          <w:sz w:val="28"/>
                          <w:szCs w:val="30"/>
                        </w:rPr>
                        <w:t>食品药品安全重点工程</w:t>
                      </w:r>
                    </w:p>
                    <w:p w14:paraId="7017E33A">
                      <w:pPr>
                        <w:spacing w:line="380" w:lineRule="exact"/>
                        <w:ind w:firstLine="840" w:firstLineChars="400"/>
                        <w:rPr>
                          <w:rFonts w:hint="eastAsia"/>
                        </w:rPr>
                      </w:pPr>
                      <w:r>
                        <w:t>1、食品药品安全应急工程</w:t>
                      </w:r>
                      <w:r>
                        <w:rPr>
                          <w:rFonts w:hint="eastAsia"/>
                        </w:rPr>
                        <w:t>；</w:t>
                      </w:r>
                    </w:p>
                    <w:p w14:paraId="665F8432">
                      <w:pPr>
                        <w:spacing w:line="380" w:lineRule="exact"/>
                        <w:ind w:firstLine="840" w:firstLineChars="400"/>
                        <w:rPr>
                          <w:rFonts w:hint="eastAsia"/>
                        </w:rPr>
                      </w:pPr>
                      <w:r>
                        <w:t>2、食品药品检验监测达标工程</w:t>
                      </w:r>
                      <w:r>
                        <w:rPr>
                          <w:rFonts w:hint="eastAsia"/>
                        </w:rPr>
                        <w:t>；</w:t>
                      </w:r>
                    </w:p>
                    <w:p w14:paraId="13DA9D9E">
                      <w:pPr>
                        <w:spacing w:line="380" w:lineRule="exact"/>
                        <w:ind w:firstLine="840" w:firstLineChars="400"/>
                        <w:rPr>
                          <w:rFonts w:hint="eastAsia"/>
                        </w:rPr>
                      </w:pPr>
                      <w:r>
                        <w:t>3、食品安全快速检测提升工程</w:t>
                      </w:r>
                      <w:r>
                        <w:rPr>
                          <w:rFonts w:hint="eastAsia"/>
                        </w:rPr>
                        <w:t>；</w:t>
                      </w:r>
                    </w:p>
                    <w:p w14:paraId="524DC960">
                      <w:pPr>
                        <w:spacing w:line="380" w:lineRule="exact"/>
                        <w:ind w:firstLine="840" w:firstLineChars="400"/>
                        <w:rPr>
                          <w:rFonts w:hint="eastAsia"/>
                        </w:rPr>
                      </w:pPr>
                      <w:r>
                        <w:t>4、食品生产经营主体责任落实工程</w:t>
                      </w:r>
                      <w:r>
                        <w:rPr>
                          <w:rFonts w:hint="eastAsia"/>
                        </w:rPr>
                        <w:t>；</w:t>
                      </w:r>
                    </w:p>
                    <w:p w14:paraId="647DFDDD">
                      <w:pPr>
                        <w:spacing w:line="380" w:lineRule="exact"/>
                        <w:ind w:firstLine="840" w:firstLineChars="400"/>
                        <w:rPr>
                          <w:rFonts w:hint="eastAsia"/>
                        </w:rPr>
                      </w:pPr>
                      <w:r>
                        <w:t>5、食品安全“四小”升级改造工程</w:t>
                      </w:r>
                      <w:r>
                        <w:rPr>
                          <w:rFonts w:hint="eastAsia"/>
                        </w:rPr>
                        <w:t>；</w:t>
                      </w:r>
                    </w:p>
                    <w:p w14:paraId="07DF55BE">
                      <w:pPr>
                        <w:spacing w:line="380" w:lineRule="exact"/>
                        <w:ind w:firstLine="840" w:firstLineChars="400"/>
                        <w:rPr>
                          <w:rFonts w:hint="eastAsia"/>
                        </w:rPr>
                      </w:pPr>
                      <w:r>
                        <w:t>6、食品安全示范工程</w:t>
                      </w:r>
                      <w:r>
                        <w:rPr>
                          <w:rFonts w:hint="eastAsia"/>
                        </w:rPr>
                        <w:t>；</w:t>
                      </w:r>
                    </w:p>
                    <w:p w14:paraId="19BAE2E4">
                      <w:pPr>
                        <w:spacing w:line="380" w:lineRule="exact"/>
                        <w:ind w:firstLine="840" w:firstLineChars="400"/>
                        <w:rPr>
                          <w:rFonts w:hint="eastAsia"/>
                        </w:rPr>
                      </w:pPr>
                      <w:r>
                        <w:t>7、食品药品信息共享工程</w:t>
                      </w:r>
                      <w:r>
                        <w:rPr>
                          <w:rFonts w:hint="eastAsia"/>
                        </w:rPr>
                        <w:t>；</w:t>
                      </w:r>
                    </w:p>
                    <w:p w14:paraId="3BB86033">
                      <w:pPr>
                        <w:spacing w:line="380" w:lineRule="exact"/>
                        <w:ind w:firstLine="840" w:firstLineChars="400"/>
                        <w:rPr>
                          <w:rFonts w:hint="eastAsia"/>
                        </w:rPr>
                      </w:pPr>
                      <w:r>
                        <w:t>8、食品药品远程视频监控工程</w:t>
                      </w:r>
                      <w:r>
                        <w:rPr>
                          <w:rFonts w:hint="eastAsia"/>
                        </w:rPr>
                        <w:t>；</w:t>
                      </w:r>
                    </w:p>
                    <w:p w14:paraId="7B112898">
                      <w:pPr>
                        <w:spacing w:line="380" w:lineRule="exact"/>
                        <w:ind w:firstLine="840" w:firstLineChars="400"/>
                        <w:rPr>
                          <w:rFonts w:hint="eastAsia"/>
                        </w:rPr>
                      </w:pPr>
                      <w:r>
                        <w:t>9、食品药品监管执法装备达标工程</w:t>
                      </w:r>
                      <w:r>
                        <w:rPr>
                          <w:rFonts w:hint="eastAsia"/>
                        </w:rPr>
                        <w:t>。</w:t>
                      </w:r>
                    </w:p>
                  </w:txbxContent>
                </v:textbox>
                <w10:wrap type="none"/>
                <w10:anchorlock/>
              </v:shape>
            </w:pict>
          </mc:Fallback>
        </mc:AlternateContent>
      </w:r>
    </w:p>
    <w:p w14:paraId="6BA8660A">
      <w:pPr>
        <w:adjustRightInd w:val="0"/>
        <w:spacing w:before="468" w:beforeLines="150" w:after="156" w:afterLines="50" w:line="600" w:lineRule="exact"/>
        <w:jc w:val="center"/>
        <w:outlineLvl w:val="0"/>
        <w:rPr>
          <w:rFonts w:hint="eastAsia" w:ascii="黑体" w:hAnsi="黑体" w:eastAsia="黑体"/>
          <w:sz w:val="34"/>
          <w:szCs w:val="34"/>
        </w:rPr>
      </w:pPr>
      <w:bookmarkStart w:id="58" w:name="_Toc439276708"/>
      <w:r>
        <w:rPr>
          <w:rFonts w:hint="eastAsia" w:ascii="黑体" w:hAnsi="黑体" w:eastAsia="黑体"/>
          <w:sz w:val="34"/>
          <w:szCs w:val="34"/>
        </w:rPr>
        <w:t>第七章  建设社会治理现代化的引领区</w:t>
      </w:r>
      <w:bookmarkEnd w:id="58"/>
    </w:p>
    <w:p w14:paraId="59B9C8A5">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继续以“做群众需要的事，做事让群众满意”为核心理念，坚持系统治理、综合治理、依法治理和源头治理，深化365工作体系内涵，深度融合新一代信息技术，持续推进社会多元主体共同治理，全面提升社会治理体系和治理能力现代化水平，保持社会治理创新的典范引领优势。</w:t>
      </w:r>
    </w:p>
    <w:p w14:paraId="72167897">
      <w:pPr>
        <w:adjustRightInd w:val="0"/>
        <w:spacing w:line="600" w:lineRule="exact"/>
        <w:ind w:firstLine="680" w:firstLineChars="200"/>
        <w:outlineLvl w:val="1"/>
        <w:rPr>
          <w:rFonts w:hint="eastAsia" w:ascii="黑体" w:hAnsi="黑体" w:eastAsia="黑体"/>
          <w:kern w:val="0"/>
          <w:sz w:val="34"/>
          <w:szCs w:val="34"/>
        </w:rPr>
      </w:pPr>
      <w:bookmarkStart w:id="59" w:name="_Toc439276709"/>
      <w:r>
        <w:rPr>
          <w:rFonts w:hint="eastAsia" w:ascii="黑体" w:hAnsi="黑体" w:eastAsia="黑体"/>
          <w:kern w:val="0"/>
          <w:sz w:val="34"/>
          <w:szCs w:val="34"/>
        </w:rPr>
        <w:t>一、进一步深化社会治理体系</w:t>
      </w:r>
      <w:bookmarkEnd w:id="59"/>
    </w:p>
    <w:p w14:paraId="55A066B0">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健全社会诉求综合服务体系。依托大数据平台，统筹公共资源，整合居民、企业和行政诉求，完善区、街道、社区、网格四级服务网络，精细化高效率解决民意诉求。深化矛盾纠纷化解工作体系。充分发挥诉调对接中心、医疗纠纷调解中心、物业管理纠纷调解中心作用，确保纠纷调解有效公正。完善社会组织孵化工作体系。强化365社会组织服务园的引导、管理和扶持作用，发挥“西岗区社会组织联合会”的行业监管和自律作用，支持志愿服务组织发展，推进公共服务市场化运作。完善平安西岗建设工作体系。以“星级平安居住小区创建”为引领，深入开展平安学校、平安医院、平安家庭等创建活动，提升公共安全、立体化防控、社会风险预警应对水平。</w:t>
      </w:r>
    </w:p>
    <w:p w14:paraId="3874C03A">
      <w:pPr>
        <w:adjustRightInd w:val="0"/>
        <w:spacing w:line="600" w:lineRule="exact"/>
        <w:ind w:firstLine="680" w:firstLineChars="200"/>
        <w:outlineLvl w:val="1"/>
        <w:rPr>
          <w:rFonts w:hint="eastAsia" w:ascii="黑体" w:hAnsi="黑体" w:eastAsia="黑体"/>
          <w:kern w:val="0"/>
          <w:sz w:val="34"/>
          <w:szCs w:val="34"/>
        </w:rPr>
      </w:pPr>
      <w:bookmarkStart w:id="60" w:name="_Toc439276710"/>
      <w:r>
        <w:rPr>
          <w:rFonts w:hint="eastAsia" w:ascii="黑体" w:hAnsi="黑体" w:eastAsia="黑体"/>
          <w:kern w:val="0"/>
          <w:sz w:val="34"/>
          <w:szCs w:val="34"/>
        </w:rPr>
        <w:t>二、进一步完善社会治理机制</w:t>
      </w:r>
      <w:bookmarkEnd w:id="60"/>
    </w:p>
    <w:p w14:paraId="3CB1C795">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完善网格化管理工作机制。发挥网格各级组织协同作用，延伸职能部门基层触角，实现公共服务和政务全域网格化。完善项目化运作工作机制。融合“公益众筹”模式，推进“项目双轨制”，提高公共服务供给效率和质量。完善社会矛盾大调解工作机制。创新调解载体，开辟多元、多层次社会矛盾化解渠道，做好群众来信来访工作，推进司法、行政和人民调解、信访化解等方面有效衔接，规范非诉讼调解，多渠道提供心理卫生服务，引导群众依法有序合理表达利益诉求。完善社会风险预警与评估机制。运用风险管理方法，采用数据分析与挖掘等技术手段，构建符合区情的评估模式，提升社会风险的识别和预警能力。建立应急管理机制。完善应急管理方式和手段，有效应对突发事件，提高抗突发、抗危机、抗风险综合能力。</w:t>
      </w:r>
    </w:p>
    <w:p w14:paraId="24FD2CDB">
      <w:pPr>
        <w:adjustRightInd w:val="0"/>
        <w:spacing w:line="600" w:lineRule="exact"/>
        <w:ind w:firstLine="680" w:firstLineChars="200"/>
        <w:outlineLvl w:val="1"/>
        <w:rPr>
          <w:rFonts w:hint="eastAsia" w:ascii="黑体" w:hAnsi="黑体" w:eastAsia="黑体"/>
          <w:kern w:val="0"/>
          <w:sz w:val="34"/>
          <w:szCs w:val="34"/>
        </w:rPr>
      </w:pPr>
      <w:bookmarkStart w:id="61" w:name="_Toc439276711"/>
      <w:r>
        <w:rPr>
          <w:rFonts w:hint="eastAsia" w:ascii="黑体" w:hAnsi="黑体" w:eastAsia="黑体"/>
          <w:kern w:val="0"/>
          <w:sz w:val="34"/>
          <w:szCs w:val="34"/>
        </w:rPr>
        <w:t>三、进一步优化社会治理手段</w:t>
      </w:r>
      <w:bookmarkEnd w:id="61"/>
    </w:p>
    <w:p w14:paraId="5301FA6E">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以信息化为牵动，创新社会治安立体化防控体系，建设社会面、重点行业、街道和社区治安、机关企事业单位内部安全和信息网络防控网。提升重点人群和特殊人群服务管理水平。落实外来人员市民化待遇相关政策，提高外来人员服务与管理质量。支持社会组织发展，重点培育和发展行业协会商会类、科技类、公益慈善类、社会服务类社会组织。推动行业协会商会组织与行政机关脱离，探索“一业多会”模式。推进社区自治，依法建立社区公共事务准入制度，建立以居民满意度为核心的第三方社区工作评价体系。深化居民自治，完善居民议事制度，加强基层民主建设。</w:t>
      </w:r>
    </w:p>
    <w:p w14:paraId="3048B2EB">
      <w:pPr>
        <w:adjustRightInd w:val="0"/>
        <w:spacing w:line="600" w:lineRule="exact"/>
        <w:jc w:val="center"/>
        <w:rPr>
          <w:rFonts w:hint="eastAsia" w:ascii="黑体" w:eastAsia="黑体" w:cs="黑体"/>
          <w:sz w:val="28"/>
          <w:szCs w:val="30"/>
        </w:rPr>
      </w:pPr>
    </w:p>
    <w:p w14:paraId="65C01615">
      <w:pPr>
        <w:adjustRightInd w:val="0"/>
        <w:spacing w:line="600" w:lineRule="exact"/>
        <w:jc w:val="center"/>
        <w:rPr>
          <w:rFonts w:hint="eastAsia" w:ascii="黑体" w:eastAsia="黑体" w:cs="黑体"/>
          <w:sz w:val="28"/>
          <w:szCs w:val="30"/>
        </w:rPr>
      </w:pPr>
    </w:p>
    <w:p w14:paraId="5FA6911F">
      <w:pPr>
        <w:adjustRightInd w:val="0"/>
        <w:spacing w:line="600" w:lineRule="exact"/>
        <w:jc w:val="center"/>
        <w:rPr>
          <w:rFonts w:hint="eastAsia" w:ascii="黑体" w:eastAsia="黑体" w:cs="黑体"/>
          <w:sz w:val="28"/>
          <w:szCs w:val="30"/>
        </w:rPr>
      </w:pPr>
    </w:p>
    <w:p w14:paraId="0F29F0D6">
      <w:pPr>
        <w:adjustRightInd w:val="0"/>
        <w:spacing w:line="600" w:lineRule="exact"/>
        <w:jc w:val="center"/>
        <w:rPr>
          <w:rFonts w:hint="eastAsia" w:ascii="黑体" w:eastAsia="黑体" w:cs="黑体"/>
          <w:sz w:val="28"/>
          <w:szCs w:val="30"/>
        </w:rPr>
      </w:pPr>
    </w:p>
    <w:p w14:paraId="77E6956B">
      <w:pPr>
        <w:adjustRightInd w:val="0"/>
        <w:spacing w:line="600" w:lineRule="exact"/>
        <w:jc w:val="center"/>
        <w:rPr>
          <w:rFonts w:hint="eastAsia" w:ascii="黑体" w:eastAsia="黑体" w:cs="黑体"/>
          <w:sz w:val="28"/>
          <w:szCs w:val="30"/>
        </w:rPr>
      </w:pPr>
    </w:p>
    <w:p w14:paraId="677A36F5">
      <w:pPr>
        <w:adjustRightInd w:val="0"/>
        <w:spacing w:line="600" w:lineRule="exact"/>
        <w:jc w:val="center"/>
        <w:rPr>
          <w:rFonts w:hint="eastAsia" w:ascii="黑体" w:eastAsia="黑体" w:cs="黑体"/>
          <w:sz w:val="28"/>
          <w:szCs w:val="30"/>
        </w:rPr>
      </w:pPr>
    </w:p>
    <w:p w14:paraId="6E2B0E8A">
      <w:pPr>
        <w:adjustRightInd w:val="0"/>
        <w:spacing w:line="600" w:lineRule="exact"/>
        <w:jc w:val="center"/>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8785" cy="2303145"/>
                <wp:effectExtent l="4445" t="4445" r="20320" b="16510"/>
                <wp:docPr id="7" name="文本框 10"/>
                <wp:cNvGraphicFramePr/>
                <a:graphic xmlns:a="http://schemas.openxmlformats.org/drawingml/2006/main">
                  <a:graphicData uri="http://schemas.microsoft.com/office/word/2010/wordprocessingShape">
                    <wps:wsp>
                      <wps:cNvSpPr txBox="1">
                        <a:spLocks noRot="1"/>
                      </wps:cNvSpPr>
                      <wps:spPr>
                        <a:xfrm>
                          <a:off x="0" y="0"/>
                          <a:ext cx="5518785" cy="23031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4C8306">
                            <w:pPr>
                              <w:jc w:val="center"/>
                              <w:rPr>
                                <w:rFonts w:ascii="黑体" w:eastAsia="黑体"/>
                                <w:sz w:val="28"/>
                                <w:szCs w:val="30"/>
                              </w:rPr>
                            </w:pPr>
                            <w:r>
                              <w:rPr>
                                <w:rFonts w:hint="eastAsia" w:ascii="黑体" w:eastAsia="黑体" w:cs="黑体"/>
                                <w:sz w:val="28"/>
                                <w:szCs w:val="30"/>
                              </w:rPr>
                              <w:t>专栏8</w:t>
                            </w:r>
                            <w:r>
                              <w:rPr>
                                <w:rFonts w:ascii="黑体" w:eastAsia="黑体" w:cs="黑体"/>
                                <w:sz w:val="28"/>
                                <w:szCs w:val="30"/>
                              </w:rPr>
                              <w:t xml:space="preserve">  </w:t>
                            </w:r>
                            <w:r>
                              <w:rPr>
                                <w:rFonts w:hint="eastAsia" w:ascii="黑体" w:eastAsia="黑体" w:cs="黑体"/>
                                <w:sz w:val="28"/>
                                <w:szCs w:val="30"/>
                              </w:rPr>
                              <w:t>365工作体系重点工作任务</w:t>
                            </w:r>
                          </w:p>
                          <w:p w14:paraId="25788EF2">
                            <w:pPr>
                              <w:spacing w:line="420" w:lineRule="exact"/>
                              <w:ind w:firstLine="840" w:firstLineChars="400"/>
                              <w:rPr>
                                <w:rFonts w:hint="eastAsia" w:ascii="宋体" w:hAnsi="宋体" w:cs="仿宋_GB2312"/>
                              </w:rPr>
                            </w:pPr>
                            <w:r>
                              <w:rPr>
                                <w:rFonts w:hint="eastAsia" w:ascii="宋体" w:hAnsi="宋体" w:cs="仿宋_GB2312"/>
                              </w:rPr>
                              <w:t>1、完善现代化网格管理服务机制；</w:t>
                            </w:r>
                          </w:p>
                          <w:p w14:paraId="392623AD">
                            <w:pPr>
                              <w:spacing w:line="420" w:lineRule="exact"/>
                              <w:ind w:firstLine="840" w:firstLineChars="400"/>
                              <w:rPr>
                                <w:rFonts w:hint="eastAsia" w:ascii="宋体" w:hAnsi="宋体" w:cs="仿宋_GB2312"/>
                              </w:rPr>
                            </w:pPr>
                            <w:r>
                              <w:rPr>
                                <w:rFonts w:hint="eastAsia" w:ascii="宋体" w:hAnsi="宋体" w:cs="仿宋_GB2312"/>
                              </w:rPr>
                              <w:t>2、完善立体化社会诉求处理机制；</w:t>
                            </w:r>
                          </w:p>
                          <w:p w14:paraId="56508233">
                            <w:pPr>
                              <w:spacing w:line="420" w:lineRule="exact"/>
                              <w:ind w:firstLine="840" w:firstLineChars="400"/>
                              <w:rPr>
                                <w:rFonts w:hint="eastAsia" w:ascii="宋体" w:hAnsi="宋体" w:cs="仿宋_GB2312"/>
                              </w:rPr>
                            </w:pPr>
                            <w:r>
                              <w:rPr>
                                <w:rFonts w:hint="eastAsia" w:ascii="宋体" w:hAnsi="宋体" w:cs="仿宋_GB2312"/>
                              </w:rPr>
                              <w:t>3、完善多元化项目运行机制；</w:t>
                            </w:r>
                          </w:p>
                          <w:p w14:paraId="0E246E8F">
                            <w:pPr>
                              <w:spacing w:line="420" w:lineRule="exact"/>
                              <w:ind w:firstLine="840" w:firstLineChars="400"/>
                              <w:rPr>
                                <w:rFonts w:hint="eastAsia" w:ascii="宋体" w:hAnsi="宋体" w:cs="仿宋_GB2312"/>
                              </w:rPr>
                            </w:pPr>
                            <w:r>
                              <w:rPr>
                                <w:rFonts w:hint="eastAsia" w:ascii="宋体" w:hAnsi="宋体" w:cs="仿宋_GB2312"/>
                              </w:rPr>
                              <w:t>4、完善智能化大数据分析机制；</w:t>
                            </w:r>
                          </w:p>
                          <w:p w14:paraId="006A5429">
                            <w:pPr>
                              <w:spacing w:line="420" w:lineRule="exact"/>
                              <w:ind w:firstLine="840" w:firstLineChars="400"/>
                              <w:rPr>
                                <w:rFonts w:hint="eastAsia" w:ascii="宋体" w:hAnsi="宋体" w:cs="仿宋_GB2312"/>
                              </w:rPr>
                            </w:pPr>
                            <w:r>
                              <w:rPr>
                                <w:rFonts w:hint="eastAsia" w:ascii="宋体" w:hAnsi="宋体" w:cs="仿宋_GB2312"/>
                              </w:rPr>
                              <w:t>5、完善专业化重点人群管理服务机制；</w:t>
                            </w:r>
                          </w:p>
                          <w:p w14:paraId="50A1041B">
                            <w:pPr>
                              <w:spacing w:line="420" w:lineRule="exact"/>
                              <w:ind w:firstLine="840" w:firstLineChars="400"/>
                              <w:rPr>
                                <w:rFonts w:ascii="宋体" w:hAnsi="宋体"/>
                              </w:rPr>
                            </w:pPr>
                            <w:r>
                              <w:rPr>
                                <w:rFonts w:hint="eastAsia" w:ascii="宋体" w:hAnsi="宋体" w:cs="仿宋_GB2312"/>
                              </w:rPr>
                              <w:t>6、完善定制化基层共享共治机制。</w:t>
                            </w:r>
                          </w:p>
                          <w:p w14:paraId="691F26AF"/>
                        </w:txbxContent>
                      </wps:txbx>
                      <wps:bodyPr wrap="square" upright="1"/>
                    </wps:wsp>
                  </a:graphicData>
                </a:graphic>
              </wp:inline>
            </w:drawing>
          </mc:Choice>
          <mc:Fallback>
            <w:pict>
              <v:shape id="文本框 10" o:spid="_x0000_s1026" o:spt="202" type="#_x0000_t202" style="height:181.35pt;width:434.55pt;" fillcolor="#FFFFFF" filled="t" stroked="t" coordsize="21600,21600" o:gfxdata="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CO&#10;UBvWAAAABQEAAA8AAAAAAAAAAQAgAAAAIgAAAGRycy9kb3ducmV2LnhtbFBLAQIUABQAAAAIAIdO&#10;4kBdUa9gJQIAAGkEAAAOAAAAAAAAAAEAIAAAACUBAABkcnMvZTJvRG9jLnhtbFBLBQYAAAAABgAG&#10;AFkBAAC8BQAAAAA=&#10;">
                <v:fill on="t" focussize="0,0"/>
                <v:stroke color="#000000" joinstyle="miter"/>
                <v:imagedata o:title=""/>
                <o:lock v:ext="edit" rotation="t" aspectratio="f"/>
                <v:textbox>
                  <w:txbxContent>
                    <w:p w14:paraId="6E4C8306">
                      <w:pPr>
                        <w:jc w:val="center"/>
                        <w:rPr>
                          <w:rFonts w:ascii="黑体" w:eastAsia="黑体"/>
                          <w:sz w:val="28"/>
                          <w:szCs w:val="30"/>
                        </w:rPr>
                      </w:pPr>
                      <w:r>
                        <w:rPr>
                          <w:rFonts w:hint="eastAsia" w:ascii="黑体" w:eastAsia="黑体" w:cs="黑体"/>
                          <w:sz w:val="28"/>
                          <w:szCs w:val="30"/>
                        </w:rPr>
                        <w:t>专栏8</w:t>
                      </w:r>
                      <w:r>
                        <w:rPr>
                          <w:rFonts w:ascii="黑体" w:eastAsia="黑体" w:cs="黑体"/>
                          <w:sz w:val="28"/>
                          <w:szCs w:val="30"/>
                        </w:rPr>
                        <w:t xml:space="preserve">  </w:t>
                      </w:r>
                      <w:r>
                        <w:rPr>
                          <w:rFonts w:hint="eastAsia" w:ascii="黑体" w:eastAsia="黑体" w:cs="黑体"/>
                          <w:sz w:val="28"/>
                          <w:szCs w:val="30"/>
                        </w:rPr>
                        <w:t>365工作体系重点工作任务</w:t>
                      </w:r>
                    </w:p>
                    <w:p w14:paraId="25788EF2">
                      <w:pPr>
                        <w:spacing w:line="420" w:lineRule="exact"/>
                        <w:ind w:firstLine="840" w:firstLineChars="400"/>
                        <w:rPr>
                          <w:rFonts w:hint="eastAsia" w:ascii="宋体" w:hAnsi="宋体" w:cs="仿宋_GB2312"/>
                        </w:rPr>
                      </w:pPr>
                      <w:r>
                        <w:rPr>
                          <w:rFonts w:hint="eastAsia" w:ascii="宋体" w:hAnsi="宋体" w:cs="仿宋_GB2312"/>
                        </w:rPr>
                        <w:t>1、完善现代化网格管理服务机制；</w:t>
                      </w:r>
                    </w:p>
                    <w:p w14:paraId="392623AD">
                      <w:pPr>
                        <w:spacing w:line="420" w:lineRule="exact"/>
                        <w:ind w:firstLine="840" w:firstLineChars="400"/>
                        <w:rPr>
                          <w:rFonts w:hint="eastAsia" w:ascii="宋体" w:hAnsi="宋体" w:cs="仿宋_GB2312"/>
                        </w:rPr>
                      </w:pPr>
                      <w:r>
                        <w:rPr>
                          <w:rFonts w:hint="eastAsia" w:ascii="宋体" w:hAnsi="宋体" w:cs="仿宋_GB2312"/>
                        </w:rPr>
                        <w:t>2、完善立体化社会诉求处理机制；</w:t>
                      </w:r>
                    </w:p>
                    <w:p w14:paraId="56508233">
                      <w:pPr>
                        <w:spacing w:line="420" w:lineRule="exact"/>
                        <w:ind w:firstLine="840" w:firstLineChars="400"/>
                        <w:rPr>
                          <w:rFonts w:hint="eastAsia" w:ascii="宋体" w:hAnsi="宋体" w:cs="仿宋_GB2312"/>
                        </w:rPr>
                      </w:pPr>
                      <w:r>
                        <w:rPr>
                          <w:rFonts w:hint="eastAsia" w:ascii="宋体" w:hAnsi="宋体" w:cs="仿宋_GB2312"/>
                        </w:rPr>
                        <w:t>3、完善多元化项目运行机制；</w:t>
                      </w:r>
                    </w:p>
                    <w:p w14:paraId="0E246E8F">
                      <w:pPr>
                        <w:spacing w:line="420" w:lineRule="exact"/>
                        <w:ind w:firstLine="840" w:firstLineChars="400"/>
                        <w:rPr>
                          <w:rFonts w:hint="eastAsia" w:ascii="宋体" w:hAnsi="宋体" w:cs="仿宋_GB2312"/>
                        </w:rPr>
                      </w:pPr>
                      <w:r>
                        <w:rPr>
                          <w:rFonts w:hint="eastAsia" w:ascii="宋体" w:hAnsi="宋体" w:cs="仿宋_GB2312"/>
                        </w:rPr>
                        <w:t>4、完善智能化大数据分析机制；</w:t>
                      </w:r>
                    </w:p>
                    <w:p w14:paraId="006A5429">
                      <w:pPr>
                        <w:spacing w:line="420" w:lineRule="exact"/>
                        <w:ind w:firstLine="840" w:firstLineChars="400"/>
                        <w:rPr>
                          <w:rFonts w:hint="eastAsia" w:ascii="宋体" w:hAnsi="宋体" w:cs="仿宋_GB2312"/>
                        </w:rPr>
                      </w:pPr>
                      <w:r>
                        <w:rPr>
                          <w:rFonts w:hint="eastAsia" w:ascii="宋体" w:hAnsi="宋体" w:cs="仿宋_GB2312"/>
                        </w:rPr>
                        <w:t>5、完善专业化重点人群管理服务机制；</w:t>
                      </w:r>
                    </w:p>
                    <w:p w14:paraId="50A1041B">
                      <w:pPr>
                        <w:spacing w:line="420" w:lineRule="exact"/>
                        <w:ind w:firstLine="840" w:firstLineChars="400"/>
                        <w:rPr>
                          <w:rFonts w:ascii="宋体" w:hAnsi="宋体"/>
                        </w:rPr>
                      </w:pPr>
                      <w:r>
                        <w:rPr>
                          <w:rFonts w:hint="eastAsia" w:ascii="宋体" w:hAnsi="宋体" w:cs="仿宋_GB2312"/>
                        </w:rPr>
                        <w:t>6、完善定制化基层共享共治机制。</w:t>
                      </w:r>
                    </w:p>
                    <w:p w14:paraId="691F26AF"/>
                  </w:txbxContent>
                </v:textbox>
                <w10:wrap type="none"/>
                <w10:anchorlock/>
              </v:shape>
            </w:pict>
          </mc:Fallback>
        </mc:AlternateContent>
      </w:r>
    </w:p>
    <w:p w14:paraId="2E993A01">
      <w:pPr>
        <w:adjustRightInd w:val="0"/>
        <w:spacing w:before="468" w:beforeLines="150" w:after="156" w:afterLines="50" w:line="600" w:lineRule="exact"/>
        <w:jc w:val="center"/>
        <w:outlineLvl w:val="0"/>
        <w:rPr>
          <w:rFonts w:hint="eastAsia" w:ascii="黑体" w:hAnsi="黑体" w:eastAsia="黑体"/>
          <w:sz w:val="34"/>
          <w:szCs w:val="34"/>
        </w:rPr>
      </w:pPr>
      <w:bookmarkStart w:id="62" w:name="_Toc439276712"/>
      <w:r>
        <w:rPr>
          <w:rFonts w:hint="eastAsia" w:ascii="黑体" w:hAnsi="黑体" w:eastAsia="黑体"/>
          <w:sz w:val="34"/>
          <w:szCs w:val="34"/>
        </w:rPr>
        <w:t>第八章  建设独具魅力的文化强区</w:t>
      </w:r>
      <w:bookmarkEnd w:id="62"/>
    </w:p>
    <w:p w14:paraId="6E9E9D66">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将培育高品位、有特色的西岗文化作为重要战略，在城区经济社会发展中植入厚重文化因子，弘扬时代新风，彰显人文魅力，发挥文化繁荣对激发经济活力、促进社会和谐、增强城区影响力的推动作用。</w:t>
      </w:r>
    </w:p>
    <w:p w14:paraId="472B2AB7">
      <w:pPr>
        <w:adjustRightInd w:val="0"/>
        <w:spacing w:line="600" w:lineRule="exact"/>
        <w:ind w:firstLine="680" w:firstLineChars="200"/>
        <w:outlineLvl w:val="1"/>
        <w:rPr>
          <w:rFonts w:hint="eastAsia" w:ascii="黑体" w:hAnsi="黑体" w:eastAsia="黑体"/>
          <w:kern w:val="0"/>
          <w:sz w:val="34"/>
          <w:szCs w:val="34"/>
        </w:rPr>
      </w:pPr>
      <w:bookmarkStart w:id="63" w:name="_Toc436243989"/>
      <w:bookmarkStart w:id="64" w:name="_Toc438450599"/>
      <w:bookmarkStart w:id="65" w:name="_Toc439276713"/>
      <w:r>
        <w:rPr>
          <w:rFonts w:hint="eastAsia" w:ascii="黑体" w:hAnsi="黑体" w:eastAsia="黑体"/>
          <w:kern w:val="0"/>
          <w:sz w:val="34"/>
          <w:szCs w:val="34"/>
        </w:rPr>
        <w:t>一</w:t>
      </w:r>
      <w:bookmarkEnd w:id="63"/>
      <w:r>
        <w:rPr>
          <w:rFonts w:hint="eastAsia" w:ascii="黑体" w:hAnsi="黑体" w:eastAsia="黑体"/>
          <w:kern w:val="0"/>
          <w:sz w:val="34"/>
          <w:szCs w:val="34"/>
        </w:rPr>
        <w:t>、提升文明城区</w:t>
      </w:r>
      <w:bookmarkEnd w:id="64"/>
      <w:r>
        <w:rPr>
          <w:rFonts w:hint="eastAsia" w:ascii="黑体" w:hAnsi="黑体" w:eastAsia="黑体"/>
          <w:kern w:val="0"/>
          <w:sz w:val="34"/>
          <w:szCs w:val="34"/>
        </w:rPr>
        <w:t>内涵</w:t>
      </w:r>
      <w:bookmarkEnd w:id="65"/>
    </w:p>
    <w:p w14:paraId="3AA7DA7E">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加强精神文明建设，培育和践行社会主义核心价值观，提升城区文明程度和居民文明素质。推进文明城市创建，持续开展文明和谐楼院建设。健全志愿服务体系，推动志愿服务常态化。加强未成年人思想道德建设。以“读书月”、“终身学习周”等载体活动为牵动，推进学习型党组织、学习型机关等学习型组织建设。培育终身学习氛围，推广全民阅读，构建体系健全、网络完善、资源配置科学的学习型城区。构建学习信息资源发布、数字化学习服务和社区教育服务平台。以区市民文化活动中心、图书馆、365市民大讲堂和7个街道社区教育学校为主体，建设覆盖全区的十大学习中心，创建全国社区教育示范区。</w:t>
      </w:r>
    </w:p>
    <w:p w14:paraId="44BE37CF">
      <w:pPr>
        <w:adjustRightInd w:val="0"/>
        <w:spacing w:line="600" w:lineRule="exact"/>
        <w:ind w:firstLine="680" w:firstLineChars="200"/>
        <w:outlineLvl w:val="1"/>
        <w:rPr>
          <w:rFonts w:hint="eastAsia" w:ascii="黑体" w:hAnsi="黑体" w:eastAsia="黑体"/>
          <w:kern w:val="0"/>
          <w:sz w:val="34"/>
          <w:szCs w:val="34"/>
        </w:rPr>
      </w:pPr>
      <w:bookmarkStart w:id="66" w:name="_Toc438450600"/>
      <w:bookmarkStart w:id="67" w:name="_Toc439276714"/>
      <w:r>
        <w:rPr>
          <w:rFonts w:hint="eastAsia" w:ascii="黑体" w:hAnsi="黑体" w:eastAsia="黑体"/>
          <w:kern w:val="0"/>
          <w:sz w:val="34"/>
          <w:szCs w:val="34"/>
        </w:rPr>
        <w:t>二、强化公共文化服务</w:t>
      </w:r>
      <w:bookmarkEnd w:id="66"/>
      <w:bookmarkEnd w:id="67"/>
    </w:p>
    <w:p w14:paraId="07789F2B">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推进公共文化服务标准化均等化，实施文化惠民工程，深化“500米文化圈”。整合辖区公共文化资源，促进文化资源共享，满足市民差异化需求。鼓励和引导社会资本参与公共文化设施建设，提升区图书馆、文化馆的现代化、数字化、信息化水平，新建区档案馆。提升公共文化设施服务能力，建立“文化暖心驿站”，面向辖区居民开展免费艺术素质培训。建设各具特色的文化型社区，打造特色文化队伍。增强社会组织文化产品输出和服务供给能力。加大群众性体育基础设施投入，建设覆盖全区的便利性运动场地和健身步道。完善体育社团组织网络，推动特色队伍、特色比赛、特色活动发展。重视校园体育开展，实施竞技体育“星火工程”，输送优秀竞技体育人才。推广全民健身，体育人口达到60%。</w:t>
      </w:r>
    </w:p>
    <w:p w14:paraId="7BA9F2EA">
      <w:pPr>
        <w:adjustRightInd w:val="0"/>
        <w:spacing w:line="600" w:lineRule="exact"/>
        <w:ind w:firstLine="680" w:firstLineChars="200"/>
        <w:outlineLvl w:val="1"/>
        <w:rPr>
          <w:rFonts w:hint="eastAsia" w:ascii="黑体" w:hAnsi="黑体" w:eastAsia="黑体"/>
          <w:kern w:val="0"/>
          <w:sz w:val="34"/>
          <w:szCs w:val="34"/>
        </w:rPr>
      </w:pPr>
      <w:bookmarkStart w:id="68" w:name="_Toc439276715"/>
      <w:bookmarkStart w:id="69" w:name="_Toc438450601"/>
      <w:r>
        <w:rPr>
          <w:rFonts w:hint="eastAsia" w:ascii="黑体" w:hAnsi="黑体" w:eastAsia="黑体"/>
          <w:kern w:val="0"/>
          <w:sz w:val="34"/>
          <w:szCs w:val="34"/>
        </w:rPr>
        <w:t>三、打造特色文化品牌</w:t>
      </w:r>
      <w:bookmarkEnd w:id="68"/>
      <w:bookmarkEnd w:id="69"/>
    </w:p>
    <w:p w14:paraId="6BF6DC9C">
      <w:pPr>
        <w:adjustRightInd w:val="0"/>
        <w:spacing w:line="600" w:lineRule="exact"/>
        <w:ind w:firstLine="680" w:firstLineChars="200"/>
        <w:rPr>
          <w:rFonts w:hint="eastAsia" w:ascii="仿宋_GB2312" w:eastAsia="仿宋_GB2312"/>
          <w:sz w:val="34"/>
          <w:szCs w:val="34"/>
        </w:rPr>
      </w:pPr>
      <w:bookmarkStart w:id="70" w:name="_Toc436243991"/>
      <w:r>
        <w:rPr>
          <w:rFonts w:hint="eastAsia" w:ascii="仿宋_GB2312" w:eastAsia="仿宋_GB2312"/>
          <w:sz w:val="34"/>
          <w:szCs w:val="34"/>
        </w:rPr>
        <w:t>实施文化精品工程，繁荣文艺创作。引进和培养高端文化艺术人才。办好“西岗杯”相声新人新作推选、市民文化节、市民读书节、市民歌唱大赛等区域性品牌活动，做大做强文化惠民“专属定制”、西岗文化直通车等特色活动，打造城区文化亮点。加强历史文化遗产保护利用，建立多层次多元化历史文化保护体系。加强非物质文化遗产保护，推动非遗项目进课堂。依托辖区文化体育场馆设施，举办形式多样的文化展演活动，承办国内重大文体赛事，推动文化体育交流。</w:t>
      </w:r>
    </w:p>
    <w:p w14:paraId="6AF2EE5B">
      <w:pPr>
        <w:adjustRightInd w:val="0"/>
        <w:spacing w:line="600" w:lineRule="exact"/>
        <w:ind w:firstLine="680" w:firstLineChars="200"/>
        <w:outlineLvl w:val="1"/>
        <w:rPr>
          <w:rFonts w:hint="eastAsia" w:ascii="黑体" w:hAnsi="黑体" w:eastAsia="黑体"/>
          <w:kern w:val="0"/>
          <w:sz w:val="34"/>
          <w:szCs w:val="34"/>
        </w:rPr>
      </w:pPr>
      <w:bookmarkStart w:id="71" w:name="_Toc439276716"/>
      <w:bookmarkStart w:id="72" w:name="_Toc438450602"/>
      <w:r>
        <w:rPr>
          <w:rFonts w:hint="eastAsia" w:ascii="黑体" w:hAnsi="黑体" w:eastAsia="黑体"/>
          <w:kern w:val="0"/>
          <w:sz w:val="34"/>
          <w:szCs w:val="34"/>
        </w:rPr>
        <w:t>四、培育现代文化产业</w:t>
      </w:r>
      <w:bookmarkEnd w:id="70"/>
      <w:bookmarkEnd w:id="71"/>
      <w:bookmarkEnd w:id="72"/>
    </w:p>
    <w:p w14:paraId="345AA9EB">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培育文化市场主体，打造骨干文化企业，支持中小微文化企业发展，鼓励传统文化传媒、创意设计、文体演艺类企业转型升级和发展壮大。优化文化产业布局，合理配置文化市场资源要素。发展“互联网+文化”，推进文化与科技、旅游、金融等产业融合发展。培育新型文化产品和服务模式，打造高端化、个性化文化服务品牌。拓展文化产品和服务消费领域，引导大众文化消费。保护性开发胜利桥北街、团结街近代建筑群，传承城市历史文脉。创设精品赛事，打造城区体育产业品牌。到2020年，全区初步形成市场体系完善、主导产业突出、品牌效应明显、综合实力较强的现代文化产业发展新格局。</w:t>
      </w:r>
    </w:p>
    <w:p w14:paraId="46E88D98">
      <w:pPr>
        <w:adjustRightInd w:val="0"/>
        <w:spacing w:before="468" w:beforeLines="150" w:after="156" w:afterLines="50" w:line="600" w:lineRule="exact"/>
        <w:jc w:val="center"/>
        <w:outlineLvl w:val="0"/>
        <w:rPr>
          <w:rFonts w:hint="eastAsia" w:ascii="黑体" w:hAnsi="黑体" w:eastAsia="黑体"/>
          <w:sz w:val="34"/>
          <w:szCs w:val="34"/>
        </w:rPr>
      </w:pPr>
      <w:bookmarkStart w:id="73" w:name="_Toc439276717"/>
      <w:r>
        <w:rPr>
          <w:rFonts w:hint="eastAsia" w:ascii="黑体" w:hAnsi="黑体" w:eastAsia="黑体"/>
          <w:sz w:val="34"/>
          <w:szCs w:val="34"/>
        </w:rPr>
        <w:t>第九章  多措并举保障规划科学实施</w:t>
      </w:r>
      <w:bookmarkEnd w:id="73"/>
    </w:p>
    <w:p w14:paraId="2EF40030">
      <w:pPr>
        <w:adjustRightInd w:val="0"/>
        <w:spacing w:line="600" w:lineRule="exact"/>
        <w:ind w:firstLine="680" w:firstLineChars="200"/>
        <w:rPr>
          <w:rFonts w:hint="eastAsia" w:ascii="仿宋_GB2312" w:eastAsia="仿宋_GB2312"/>
          <w:sz w:val="34"/>
          <w:szCs w:val="34"/>
        </w:rPr>
      </w:pPr>
      <w:bookmarkStart w:id="74" w:name="_Toc434499025"/>
      <w:bookmarkStart w:id="75" w:name="_Toc433361927"/>
      <w:r>
        <w:rPr>
          <w:rFonts w:hint="eastAsia" w:ascii="仿宋_GB2312" w:eastAsia="仿宋_GB2312"/>
          <w:sz w:val="34"/>
          <w:szCs w:val="34"/>
        </w:rPr>
        <w:t>着力突破体制机制障碍，充分发挥市场作用，合理配置公共资源，把改革红利转变为经济社会发展动力。动员和引导全社会力量，创造规划实施的必要条件和良好环境，强化规划组织实施，努力完成规划确定的目标任务。</w:t>
      </w:r>
    </w:p>
    <w:bookmarkEnd w:id="74"/>
    <w:bookmarkEnd w:id="75"/>
    <w:p w14:paraId="3F7FC66E">
      <w:pPr>
        <w:adjustRightInd w:val="0"/>
        <w:spacing w:line="600" w:lineRule="exact"/>
        <w:ind w:firstLine="680" w:firstLineChars="200"/>
        <w:outlineLvl w:val="1"/>
        <w:rPr>
          <w:rFonts w:hint="eastAsia" w:ascii="黑体" w:hAnsi="黑体" w:eastAsia="黑体"/>
          <w:kern w:val="0"/>
          <w:sz w:val="34"/>
          <w:szCs w:val="34"/>
        </w:rPr>
      </w:pPr>
      <w:bookmarkStart w:id="76" w:name="_Toc439276718"/>
      <w:bookmarkStart w:id="77" w:name="_Toc438450609"/>
      <w:r>
        <w:rPr>
          <w:rFonts w:hint="eastAsia" w:ascii="黑体" w:hAnsi="黑体" w:eastAsia="黑体"/>
          <w:kern w:val="0"/>
          <w:sz w:val="34"/>
          <w:szCs w:val="34"/>
        </w:rPr>
        <w:t>一、坚持党的全面领导</w:t>
      </w:r>
      <w:bookmarkEnd w:id="76"/>
      <w:bookmarkEnd w:id="77"/>
    </w:p>
    <w:p w14:paraId="7E3D5B9A">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坚持党委总揽全局、协调各方，发挥领导核心作用。完善工作体制机制和方式方法。加强制度化建设，提高决策科学化水平，完善定期分析经济形势、研究重大方针政策的工作机制，健全决策咨询机制。加强党的各级组织建设，强化基层党组织整体功能。落实“三严三实”要求，严明党的纪律和规矩，落实党风廉政建设主体责任和监督责任，健全改进作风长效机制，强化权力运行制约和监督。</w:t>
      </w:r>
    </w:p>
    <w:p w14:paraId="779B3BE1">
      <w:pPr>
        <w:adjustRightInd w:val="0"/>
        <w:spacing w:line="600" w:lineRule="exact"/>
        <w:ind w:firstLine="680" w:firstLineChars="200"/>
        <w:outlineLvl w:val="1"/>
        <w:rPr>
          <w:rFonts w:hint="eastAsia" w:ascii="黑体" w:hAnsi="黑体" w:eastAsia="黑体"/>
          <w:kern w:val="0"/>
          <w:sz w:val="34"/>
          <w:szCs w:val="34"/>
        </w:rPr>
      </w:pPr>
      <w:bookmarkStart w:id="78" w:name="_Toc439276719"/>
      <w:bookmarkStart w:id="79" w:name="_Toc438450611"/>
      <w:bookmarkStart w:id="80" w:name="_Toc438036608"/>
      <w:r>
        <w:rPr>
          <w:rFonts w:hint="eastAsia" w:ascii="黑体" w:hAnsi="黑体" w:eastAsia="黑体"/>
          <w:kern w:val="0"/>
          <w:sz w:val="34"/>
          <w:szCs w:val="34"/>
        </w:rPr>
        <w:t>二、推进重点领域改革</w:t>
      </w:r>
      <w:bookmarkEnd w:id="78"/>
      <w:bookmarkEnd w:id="79"/>
      <w:bookmarkEnd w:id="80"/>
    </w:p>
    <w:p w14:paraId="59017F03">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深化行政审批和商事制度改革，完善权责清单制度体系，形成中介服务事项清单动态调整机制，推进事业单位分类改革。深化投融资体制改革，放宽民间投资市场准入，推行政府和社会资本合作（PPP）模式。实现非涉密投资项目“平台受理、在线办理、限时办结、依法监管、全程监察”。深化财政体制改革，建立健全政府预算体系，实行中期财政规划管理，探索建立跨年度预算平衡机制，健全科学规范的政府债务风险防控机制。</w:t>
      </w:r>
    </w:p>
    <w:p w14:paraId="2870DE3E">
      <w:pPr>
        <w:adjustRightInd w:val="0"/>
        <w:spacing w:line="600" w:lineRule="exact"/>
        <w:ind w:firstLine="680" w:firstLineChars="200"/>
        <w:outlineLvl w:val="1"/>
        <w:rPr>
          <w:rFonts w:hint="eastAsia" w:ascii="黑体" w:hAnsi="黑体" w:eastAsia="黑体"/>
          <w:kern w:val="0"/>
          <w:sz w:val="34"/>
          <w:szCs w:val="34"/>
        </w:rPr>
      </w:pPr>
      <w:bookmarkStart w:id="81" w:name="_Toc439276720"/>
      <w:bookmarkStart w:id="82" w:name="_Toc438450612"/>
      <w:r>
        <w:rPr>
          <w:rFonts w:hint="eastAsia" w:ascii="黑体" w:hAnsi="黑体" w:eastAsia="黑体"/>
          <w:kern w:val="0"/>
          <w:sz w:val="34"/>
          <w:szCs w:val="34"/>
        </w:rPr>
        <w:t>三、健全社会信用体系</w:t>
      </w:r>
      <w:bookmarkEnd w:id="81"/>
      <w:bookmarkEnd w:id="82"/>
    </w:p>
    <w:p w14:paraId="6C426D90">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落实社会信用代码制度，建成公用信用信息征集系统。完善信用监管体制和信用服务市场体系。推进重点领域诚信建设，加快推动政务诚信、商务诚信、社会诚信和司法公信建设。依法推进信用信息系统互联互通和信用信息的交换共享，扩大信用信息及信用产品的应用范围。推进诚信教育，加强诚信文化建设，加快信用人才培养。建立守信激励和失信惩戒联动机制，形成人人守信的良好氛围，提升全区经济社会信用发展环境。</w:t>
      </w:r>
    </w:p>
    <w:p w14:paraId="1A9065AE">
      <w:pPr>
        <w:adjustRightInd w:val="0"/>
        <w:spacing w:line="600" w:lineRule="exact"/>
        <w:ind w:firstLine="680" w:firstLineChars="200"/>
        <w:outlineLvl w:val="1"/>
        <w:rPr>
          <w:rFonts w:hint="eastAsia" w:ascii="黑体" w:hAnsi="黑体" w:eastAsia="黑体"/>
          <w:kern w:val="0"/>
          <w:sz w:val="34"/>
          <w:szCs w:val="34"/>
        </w:rPr>
      </w:pPr>
      <w:bookmarkStart w:id="83" w:name="_Toc438036609"/>
      <w:bookmarkStart w:id="84" w:name="_Toc438450610"/>
      <w:bookmarkStart w:id="85" w:name="_Toc439276721"/>
      <w:bookmarkStart w:id="86" w:name="_Toc438036610"/>
      <w:bookmarkStart w:id="87" w:name="_Toc438450613"/>
      <w:r>
        <w:rPr>
          <w:rFonts w:hint="eastAsia" w:ascii="黑体" w:hAnsi="黑体" w:eastAsia="黑体"/>
          <w:kern w:val="0"/>
          <w:sz w:val="34"/>
          <w:szCs w:val="34"/>
        </w:rPr>
        <w:t>四、强化法治政府建设</w:t>
      </w:r>
      <w:bookmarkEnd w:id="83"/>
      <w:bookmarkEnd w:id="84"/>
      <w:bookmarkEnd w:id="85"/>
    </w:p>
    <w:p w14:paraId="3C5FE803">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健全依法决策机制，强化决策监督和责任追究，形成科学有效的权力运行制约和监督体系，实现公职人员学法用法和规范文明执法。强化政务公开，实现行政决策、行政权力、行政审批、基层政务、内部行政事务“五公开”。创新普法工作形式，进一步加强依法治区。提升365公共行政服务中心功能，提供便捷高效的公共服务。推进“互联网+公共服务”，运用大数据等现代信息技术，强化部门协同联动，提升公共服务整体效能。</w:t>
      </w:r>
    </w:p>
    <w:p w14:paraId="71AFAA25">
      <w:pPr>
        <w:adjustRightInd w:val="0"/>
        <w:spacing w:line="600" w:lineRule="exact"/>
        <w:ind w:firstLine="680" w:firstLineChars="200"/>
        <w:outlineLvl w:val="1"/>
        <w:rPr>
          <w:rFonts w:hint="eastAsia" w:ascii="黑体" w:hAnsi="黑体" w:eastAsia="黑体"/>
          <w:kern w:val="0"/>
          <w:sz w:val="34"/>
          <w:szCs w:val="34"/>
        </w:rPr>
      </w:pPr>
      <w:bookmarkStart w:id="88" w:name="_Toc439276722"/>
      <w:r>
        <w:rPr>
          <w:rFonts w:hint="eastAsia" w:ascii="黑体" w:hAnsi="黑体" w:eastAsia="黑体"/>
          <w:kern w:val="0"/>
          <w:sz w:val="34"/>
          <w:szCs w:val="34"/>
        </w:rPr>
        <w:t>五、完善实施保障机制</w:t>
      </w:r>
      <w:bookmarkEnd w:id="86"/>
      <w:bookmarkEnd w:id="87"/>
      <w:bookmarkEnd w:id="88"/>
    </w:p>
    <w:p w14:paraId="29B26891">
      <w:pPr>
        <w:adjustRightInd w:val="0"/>
        <w:spacing w:line="600" w:lineRule="exact"/>
        <w:ind w:firstLine="680" w:firstLineChars="200"/>
        <w:rPr>
          <w:rFonts w:hint="eastAsia" w:ascii="仿宋_GB2312" w:eastAsia="仿宋_GB2312"/>
          <w:sz w:val="34"/>
          <w:szCs w:val="34"/>
        </w:rPr>
      </w:pPr>
      <w:r>
        <w:rPr>
          <w:rFonts w:hint="eastAsia" w:ascii="仿宋_GB2312" w:eastAsia="仿宋_GB2312"/>
          <w:sz w:val="34"/>
          <w:szCs w:val="34"/>
        </w:rPr>
        <w:t>区政府统一组织实施，健全领导机构，落实规划确定的指标体系和重点任务。规划指标和任务要分解落实到政府各部门。国民经济和社会发展年度计划、财政预算计划要根据本规划的目标和任务，制定年度目标和推进措施。研究制定配套政策，推进重大项目和重大工程，支撑规划实施。加大绩效考核力度，健全规划中期评估机制，探索引入第三方评估机构参与评估。做好规划宣传，推进规划实施信息公开，健全政府与企业、市民的信息沟通和交流机制，提高规划实施的民主化程度和透明度。加强人大、政协的法律监督和民主监督，发挥新闻媒体、群团组织的桥梁作用，促进规划有效实施。</w:t>
      </w:r>
    </w:p>
    <w:p w14:paraId="0A84C583">
      <w:pPr>
        <w:adjustRightInd w:val="0"/>
        <w:spacing w:line="600" w:lineRule="exact"/>
        <w:rPr>
          <w:rFonts w:hint="eastAsia" w:ascii="黑体" w:eastAsia="黑体" w:cs="黑体"/>
          <w:sz w:val="28"/>
          <w:szCs w:val="30"/>
        </w:rPr>
      </w:pPr>
    </w:p>
    <w:p w14:paraId="2D303443">
      <w:pPr>
        <w:adjustRightInd w:val="0"/>
        <w:spacing w:line="600" w:lineRule="exact"/>
        <w:rPr>
          <w:rFonts w:hint="eastAsia" w:ascii="黑体" w:eastAsia="黑体" w:cs="黑体"/>
          <w:sz w:val="28"/>
          <w:szCs w:val="30"/>
        </w:rPr>
      </w:pPr>
    </w:p>
    <w:p w14:paraId="520775C8">
      <w:pPr>
        <w:adjustRightInd w:val="0"/>
        <w:spacing w:line="600" w:lineRule="exact"/>
        <w:rPr>
          <w:rFonts w:hint="eastAsia" w:ascii="仿宋_GB2312" w:eastAsia="仿宋_GB2312"/>
          <w:sz w:val="34"/>
          <w:szCs w:val="34"/>
        </w:rPr>
      </w:pPr>
      <w:r>
        <w:rPr>
          <w:rFonts w:hint="eastAsia" w:ascii="仿宋_GB2312" w:eastAsia="仿宋_GB2312"/>
          <w:sz w:val="34"/>
          <w:szCs w:val="34"/>
        </w:rPr>
        <mc:AlternateContent>
          <mc:Choice Requires="wps">
            <w:drawing>
              <wp:inline distT="0" distB="0" distL="114300" distR="114300">
                <wp:extent cx="5518785" cy="5514975"/>
                <wp:effectExtent l="4445" t="4445" r="20320" b="5080"/>
                <wp:docPr id="8" name="文本框 12"/>
                <wp:cNvGraphicFramePr/>
                <a:graphic xmlns:a="http://schemas.openxmlformats.org/drawingml/2006/main">
                  <a:graphicData uri="http://schemas.microsoft.com/office/word/2010/wordprocessingShape">
                    <wps:wsp>
                      <wps:cNvSpPr txBox="1">
                        <a:spLocks noRot="1"/>
                      </wps:cNvSpPr>
                      <wps:spPr>
                        <a:xfrm>
                          <a:off x="0" y="0"/>
                          <a:ext cx="5518785" cy="5514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D45BF">
                            <w:pPr>
                              <w:jc w:val="center"/>
                              <w:rPr>
                                <w:rFonts w:ascii="黑体" w:eastAsia="黑体"/>
                                <w:sz w:val="28"/>
                                <w:szCs w:val="30"/>
                              </w:rPr>
                            </w:pPr>
                            <w:r>
                              <w:rPr>
                                <w:rFonts w:hint="eastAsia" w:ascii="黑体" w:eastAsia="黑体" w:cs="黑体"/>
                                <w:sz w:val="28"/>
                                <w:szCs w:val="30"/>
                              </w:rPr>
                              <w:t xml:space="preserve">专栏9 </w:t>
                            </w:r>
                            <w:r>
                              <w:rPr>
                                <w:rFonts w:ascii="黑体" w:eastAsia="黑体" w:cs="黑体"/>
                                <w:sz w:val="28"/>
                                <w:szCs w:val="30"/>
                              </w:rPr>
                              <w:t xml:space="preserve"> </w:t>
                            </w:r>
                            <w:r>
                              <w:rPr>
                                <w:rFonts w:hint="eastAsia" w:ascii="黑体" w:eastAsia="黑体" w:cs="黑体"/>
                                <w:sz w:val="28"/>
                                <w:szCs w:val="30"/>
                              </w:rPr>
                              <w:t>重点课题和专项规划目录</w:t>
                            </w:r>
                          </w:p>
                          <w:p w14:paraId="33E1D31F">
                            <w:pPr>
                              <w:adjustRightInd w:val="0"/>
                              <w:spacing w:line="420" w:lineRule="exact"/>
                              <w:ind w:firstLine="896" w:firstLineChars="400"/>
                              <w:rPr>
                                <w:spacing w:val="-8"/>
                                <w:kern w:val="0"/>
                                <w:sz w:val="24"/>
                              </w:rPr>
                            </w:pPr>
                            <w:r>
                              <w:rPr>
                                <w:spacing w:val="-8"/>
                                <w:kern w:val="0"/>
                                <w:sz w:val="24"/>
                              </w:rPr>
                              <w:t>1、西岗区“十三五”时期经济和社会发展总体思路与战略重点研究;</w:t>
                            </w:r>
                          </w:p>
                          <w:p w14:paraId="7F32E83C">
                            <w:pPr>
                              <w:adjustRightInd w:val="0"/>
                              <w:spacing w:line="420" w:lineRule="exact"/>
                              <w:ind w:firstLine="896" w:firstLineChars="400"/>
                              <w:rPr>
                                <w:spacing w:val="-8"/>
                                <w:kern w:val="0"/>
                                <w:sz w:val="24"/>
                              </w:rPr>
                            </w:pPr>
                            <w:r>
                              <w:rPr>
                                <w:spacing w:val="-8"/>
                                <w:kern w:val="0"/>
                                <w:sz w:val="24"/>
                              </w:rPr>
                              <w:t>2、西岗区“十三五”期间经济社会趋势预测研究;</w:t>
                            </w:r>
                          </w:p>
                          <w:p w14:paraId="081BE5C2">
                            <w:pPr>
                              <w:adjustRightInd w:val="0"/>
                              <w:spacing w:line="420" w:lineRule="exact"/>
                              <w:ind w:firstLine="896" w:firstLineChars="400"/>
                              <w:rPr>
                                <w:spacing w:val="-8"/>
                                <w:kern w:val="0"/>
                                <w:sz w:val="24"/>
                              </w:rPr>
                            </w:pPr>
                            <w:r>
                              <w:rPr>
                                <w:spacing w:val="-8"/>
                                <w:kern w:val="0"/>
                                <w:sz w:val="24"/>
                              </w:rPr>
                              <w:t>3、西岗区“十三五”期间空间结构优化研究;</w:t>
                            </w:r>
                          </w:p>
                          <w:p w14:paraId="0E5F7251">
                            <w:pPr>
                              <w:adjustRightInd w:val="0"/>
                              <w:spacing w:line="420" w:lineRule="exact"/>
                              <w:ind w:firstLine="896" w:firstLineChars="400"/>
                              <w:rPr>
                                <w:spacing w:val="-8"/>
                                <w:kern w:val="0"/>
                                <w:sz w:val="24"/>
                              </w:rPr>
                            </w:pPr>
                            <w:r>
                              <w:rPr>
                                <w:spacing w:val="-8"/>
                                <w:kern w:val="0"/>
                                <w:sz w:val="24"/>
                              </w:rPr>
                              <w:t>4、西岗区人口发展暨人口和计划生育事业发展专项规划;</w:t>
                            </w:r>
                          </w:p>
                          <w:p w14:paraId="7E11A7DF">
                            <w:pPr>
                              <w:adjustRightInd w:val="0"/>
                              <w:spacing w:line="420" w:lineRule="exact"/>
                              <w:ind w:firstLine="896" w:firstLineChars="400"/>
                              <w:rPr>
                                <w:spacing w:val="-8"/>
                                <w:kern w:val="0"/>
                                <w:sz w:val="24"/>
                              </w:rPr>
                            </w:pPr>
                            <w:r>
                              <w:rPr>
                                <w:spacing w:val="-8"/>
                                <w:kern w:val="0"/>
                                <w:sz w:val="24"/>
                              </w:rPr>
                              <w:t>5、西岗区智慧城区发展专项规划;</w:t>
                            </w:r>
                          </w:p>
                          <w:p w14:paraId="14CE8C8D">
                            <w:pPr>
                              <w:adjustRightInd w:val="0"/>
                              <w:spacing w:line="420" w:lineRule="exact"/>
                              <w:ind w:firstLine="896" w:firstLineChars="400"/>
                              <w:rPr>
                                <w:spacing w:val="-8"/>
                                <w:kern w:val="0"/>
                                <w:sz w:val="24"/>
                              </w:rPr>
                            </w:pPr>
                            <w:r>
                              <w:rPr>
                                <w:spacing w:val="-8"/>
                                <w:kern w:val="0"/>
                                <w:sz w:val="24"/>
                              </w:rPr>
                              <w:t>6、西岗区科技与信息产业发展专项规划;</w:t>
                            </w:r>
                          </w:p>
                          <w:p w14:paraId="5686917F">
                            <w:pPr>
                              <w:adjustRightInd w:val="0"/>
                              <w:spacing w:line="420" w:lineRule="exact"/>
                              <w:ind w:firstLine="896" w:firstLineChars="400"/>
                              <w:rPr>
                                <w:spacing w:val="-8"/>
                                <w:kern w:val="0"/>
                                <w:sz w:val="24"/>
                              </w:rPr>
                            </w:pPr>
                            <w:r>
                              <w:rPr>
                                <w:spacing w:val="-8"/>
                                <w:kern w:val="0"/>
                                <w:sz w:val="24"/>
                              </w:rPr>
                              <w:t>7、西岗区教育事业发展专项规划;</w:t>
                            </w:r>
                          </w:p>
                          <w:p w14:paraId="071547F0">
                            <w:pPr>
                              <w:adjustRightInd w:val="0"/>
                              <w:spacing w:line="420" w:lineRule="exact"/>
                              <w:ind w:firstLine="896" w:firstLineChars="400"/>
                              <w:rPr>
                                <w:spacing w:val="-8"/>
                                <w:kern w:val="0"/>
                                <w:sz w:val="24"/>
                              </w:rPr>
                            </w:pPr>
                            <w:r>
                              <w:rPr>
                                <w:spacing w:val="-8"/>
                                <w:kern w:val="0"/>
                                <w:sz w:val="24"/>
                              </w:rPr>
                              <w:t>8、西岗区民政事业发展专项规划;</w:t>
                            </w:r>
                          </w:p>
                          <w:p w14:paraId="5F1CA609">
                            <w:pPr>
                              <w:adjustRightInd w:val="0"/>
                              <w:spacing w:line="420" w:lineRule="exact"/>
                              <w:ind w:firstLine="896" w:firstLineChars="400"/>
                              <w:rPr>
                                <w:spacing w:val="-8"/>
                                <w:kern w:val="0"/>
                                <w:sz w:val="24"/>
                              </w:rPr>
                            </w:pPr>
                            <w:r>
                              <w:rPr>
                                <w:spacing w:val="-8"/>
                                <w:kern w:val="0"/>
                                <w:sz w:val="24"/>
                              </w:rPr>
                              <w:t>9、西岗区人才战略发展专项规划;</w:t>
                            </w:r>
                          </w:p>
                          <w:p w14:paraId="2C358B10">
                            <w:pPr>
                              <w:adjustRightInd w:val="0"/>
                              <w:spacing w:line="420" w:lineRule="exact"/>
                              <w:ind w:firstLine="896" w:firstLineChars="400"/>
                              <w:rPr>
                                <w:spacing w:val="-8"/>
                                <w:kern w:val="0"/>
                                <w:sz w:val="24"/>
                              </w:rPr>
                            </w:pPr>
                            <w:r>
                              <w:rPr>
                                <w:spacing w:val="-8"/>
                                <w:kern w:val="0"/>
                                <w:sz w:val="24"/>
                              </w:rPr>
                              <w:t>10、西岗区城区建设发展专项规划;</w:t>
                            </w:r>
                          </w:p>
                          <w:p w14:paraId="6787EE6C">
                            <w:pPr>
                              <w:adjustRightInd w:val="0"/>
                              <w:spacing w:line="420" w:lineRule="exact"/>
                              <w:ind w:firstLine="896" w:firstLineChars="400"/>
                              <w:rPr>
                                <w:spacing w:val="-8"/>
                                <w:kern w:val="0"/>
                                <w:sz w:val="24"/>
                              </w:rPr>
                            </w:pPr>
                            <w:r>
                              <w:rPr>
                                <w:spacing w:val="-8"/>
                                <w:kern w:val="0"/>
                                <w:sz w:val="24"/>
                              </w:rPr>
                              <w:t>11、西岗区服务业发展专项规划;</w:t>
                            </w:r>
                          </w:p>
                          <w:p w14:paraId="163D047E">
                            <w:pPr>
                              <w:adjustRightInd w:val="0"/>
                              <w:spacing w:line="420" w:lineRule="exact"/>
                              <w:ind w:firstLine="896" w:firstLineChars="400"/>
                              <w:rPr>
                                <w:spacing w:val="-8"/>
                                <w:kern w:val="0"/>
                                <w:sz w:val="24"/>
                              </w:rPr>
                            </w:pPr>
                            <w:r>
                              <w:rPr>
                                <w:spacing w:val="-8"/>
                                <w:kern w:val="0"/>
                                <w:sz w:val="24"/>
                              </w:rPr>
                              <w:t>12、西岗区健康服务业发展专项规划;</w:t>
                            </w:r>
                          </w:p>
                          <w:p w14:paraId="4331BC12">
                            <w:pPr>
                              <w:adjustRightInd w:val="0"/>
                              <w:spacing w:line="420" w:lineRule="exact"/>
                              <w:ind w:firstLine="896" w:firstLineChars="400"/>
                              <w:rPr>
                                <w:spacing w:val="-8"/>
                                <w:kern w:val="0"/>
                                <w:sz w:val="24"/>
                              </w:rPr>
                            </w:pPr>
                            <w:r>
                              <w:rPr>
                                <w:spacing w:val="-8"/>
                                <w:kern w:val="0"/>
                                <w:sz w:val="24"/>
                              </w:rPr>
                              <w:t>13、西岗区食品药品安全专项规划;</w:t>
                            </w:r>
                          </w:p>
                          <w:p w14:paraId="262EA5BF">
                            <w:pPr>
                              <w:adjustRightInd w:val="0"/>
                              <w:spacing w:line="420" w:lineRule="exact"/>
                              <w:ind w:firstLine="896" w:firstLineChars="400"/>
                              <w:rPr>
                                <w:spacing w:val="-8"/>
                                <w:kern w:val="0"/>
                                <w:sz w:val="24"/>
                              </w:rPr>
                            </w:pPr>
                            <w:r>
                              <w:rPr>
                                <w:spacing w:val="-8"/>
                                <w:kern w:val="0"/>
                                <w:sz w:val="24"/>
                              </w:rPr>
                              <w:t>14、西岗区文化体育产业发展专项规划;</w:t>
                            </w:r>
                          </w:p>
                          <w:p w14:paraId="771277B5">
                            <w:pPr>
                              <w:adjustRightInd w:val="0"/>
                              <w:spacing w:line="420" w:lineRule="exact"/>
                              <w:ind w:firstLine="896" w:firstLineChars="400"/>
                              <w:rPr>
                                <w:spacing w:val="-8"/>
                                <w:kern w:val="0"/>
                                <w:sz w:val="24"/>
                              </w:rPr>
                            </w:pPr>
                            <w:r>
                              <w:rPr>
                                <w:spacing w:val="-8"/>
                                <w:kern w:val="0"/>
                                <w:sz w:val="24"/>
                              </w:rPr>
                              <w:t>15、西岗区“十三五”期间区域合作和区域协同发展研究;</w:t>
                            </w:r>
                          </w:p>
                          <w:p w14:paraId="56F59CDF">
                            <w:pPr>
                              <w:adjustRightInd w:val="0"/>
                              <w:spacing w:line="420" w:lineRule="exact"/>
                              <w:ind w:firstLine="896" w:firstLineChars="400"/>
                              <w:rPr>
                                <w:spacing w:val="-8"/>
                                <w:kern w:val="0"/>
                                <w:sz w:val="24"/>
                              </w:rPr>
                            </w:pPr>
                            <w:r>
                              <w:rPr>
                                <w:spacing w:val="-8"/>
                                <w:kern w:val="0"/>
                                <w:sz w:val="24"/>
                              </w:rPr>
                              <w:t>16、西岗区旅游产业发展专项规划;</w:t>
                            </w:r>
                          </w:p>
                          <w:p w14:paraId="24C4BCA5">
                            <w:pPr>
                              <w:adjustRightInd w:val="0"/>
                              <w:spacing w:line="420" w:lineRule="exact"/>
                              <w:ind w:firstLine="896" w:firstLineChars="400"/>
                              <w:rPr>
                                <w:spacing w:val="-8"/>
                                <w:kern w:val="0"/>
                                <w:sz w:val="24"/>
                              </w:rPr>
                            </w:pPr>
                            <w:r>
                              <w:rPr>
                                <w:spacing w:val="-8"/>
                                <w:kern w:val="0"/>
                                <w:sz w:val="24"/>
                              </w:rPr>
                              <w:t>17、西岗区妇女儿童发展专项规划;</w:t>
                            </w:r>
                          </w:p>
                          <w:p w14:paraId="39C3648D">
                            <w:pPr>
                              <w:adjustRightInd w:val="0"/>
                              <w:spacing w:line="420" w:lineRule="exact"/>
                              <w:ind w:firstLine="896" w:firstLineChars="400"/>
                              <w:rPr>
                                <w:spacing w:val="-8"/>
                                <w:kern w:val="0"/>
                                <w:sz w:val="24"/>
                              </w:rPr>
                            </w:pPr>
                            <w:r>
                              <w:rPr>
                                <w:spacing w:val="-8"/>
                                <w:kern w:val="0"/>
                                <w:sz w:val="24"/>
                              </w:rPr>
                              <w:t>18、西岗区非银行金融产业发展专项规划。</w:t>
                            </w:r>
                          </w:p>
                        </w:txbxContent>
                      </wps:txbx>
                      <wps:bodyPr wrap="square" upright="1"/>
                    </wps:wsp>
                  </a:graphicData>
                </a:graphic>
              </wp:inline>
            </w:drawing>
          </mc:Choice>
          <mc:Fallback>
            <w:pict>
              <v:shape id="文本框 12" o:spid="_x0000_s1026" o:spt="202" type="#_x0000_t202" style="height:434.25pt;width:434.55pt;" fillcolor="#FFFFFF" filled="t" stroked="t" coordsize="21600,21600" o:gfxdata="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jyrjV&#10;AAAABQEAAA8AAAAAAAAAAQAgAAAAIgAAAGRycy9kb3ducmV2LnhtbFBLAQIUABQAAAAIAIdO4kA1&#10;SqNLIwIAAGkEAAAOAAAAAAAAAAEAIAAAACQBAABkcnMvZTJvRG9jLnhtbFBLBQYAAAAABgAGAFkB&#10;AAC5BQAAAAA=&#10;">
                <v:fill on="t" focussize="0,0"/>
                <v:stroke color="#000000" joinstyle="miter"/>
                <v:imagedata o:title=""/>
                <o:lock v:ext="edit" rotation="t" aspectratio="f"/>
                <v:textbox>
                  <w:txbxContent>
                    <w:p w14:paraId="3BDD45BF">
                      <w:pPr>
                        <w:jc w:val="center"/>
                        <w:rPr>
                          <w:rFonts w:ascii="黑体" w:eastAsia="黑体"/>
                          <w:sz w:val="28"/>
                          <w:szCs w:val="30"/>
                        </w:rPr>
                      </w:pPr>
                      <w:r>
                        <w:rPr>
                          <w:rFonts w:hint="eastAsia" w:ascii="黑体" w:eastAsia="黑体" w:cs="黑体"/>
                          <w:sz w:val="28"/>
                          <w:szCs w:val="30"/>
                        </w:rPr>
                        <w:t xml:space="preserve">专栏9 </w:t>
                      </w:r>
                      <w:r>
                        <w:rPr>
                          <w:rFonts w:ascii="黑体" w:eastAsia="黑体" w:cs="黑体"/>
                          <w:sz w:val="28"/>
                          <w:szCs w:val="30"/>
                        </w:rPr>
                        <w:t xml:space="preserve"> </w:t>
                      </w:r>
                      <w:r>
                        <w:rPr>
                          <w:rFonts w:hint="eastAsia" w:ascii="黑体" w:eastAsia="黑体" w:cs="黑体"/>
                          <w:sz w:val="28"/>
                          <w:szCs w:val="30"/>
                        </w:rPr>
                        <w:t>重点课题和专项规划目录</w:t>
                      </w:r>
                    </w:p>
                    <w:p w14:paraId="33E1D31F">
                      <w:pPr>
                        <w:adjustRightInd w:val="0"/>
                        <w:spacing w:line="420" w:lineRule="exact"/>
                        <w:ind w:firstLine="896" w:firstLineChars="400"/>
                        <w:rPr>
                          <w:spacing w:val="-8"/>
                          <w:kern w:val="0"/>
                          <w:sz w:val="24"/>
                        </w:rPr>
                      </w:pPr>
                      <w:r>
                        <w:rPr>
                          <w:spacing w:val="-8"/>
                          <w:kern w:val="0"/>
                          <w:sz w:val="24"/>
                        </w:rPr>
                        <w:t>1、西岗区“十三五”时期经济和社会发展总体思路与战略重点研究;</w:t>
                      </w:r>
                    </w:p>
                    <w:p w14:paraId="7F32E83C">
                      <w:pPr>
                        <w:adjustRightInd w:val="0"/>
                        <w:spacing w:line="420" w:lineRule="exact"/>
                        <w:ind w:firstLine="896" w:firstLineChars="400"/>
                        <w:rPr>
                          <w:spacing w:val="-8"/>
                          <w:kern w:val="0"/>
                          <w:sz w:val="24"/>
                        </w:rPr>
                      </w:pPr>
                      <w:r>
                        <w:rPr>
                          <w:spacing w:val="-8"/>
                          <w:kern w:val="0"/>
                          <w:sz w:val="24"/>
                        </w:rPr>
                        <w:t>2、西岗区“十三五”期间经济社会趋势预测研究;</w:t>
                      </w:r>
                    </w:p>
                    <w:p w14:paraId="081BE5C2">
                      <w:pPr>
                        <w:adjustRightInd w:val="0"/>
                        <w:spacing w:line="420" w:lineRule="exact"/>
                        <w:ind w:firstLine="896" w:firstLineChars="400"/>
                        <w:rPr>
                          <w:spacing w:val="-8"/>
                          <w:kern w:val="0"/>
                          <w:sz w:val="24"/>
                        </w:rPr>
                      </w:pPr>
                      <w:r>
                        <w:rPr>
                          <w:spacing w:val="-8"/>
                          <w:kern w:val="0"/>
                          <w:sz w:val="24"/>
                        </w:rPr>
                        <w:t>3、西岗区“十三五”期间空间结构优化研究;</w:t>
                      </w:r>
                    </w:p>
                    <w:p w14:paraId="0E5F7251">
                      <w:pPr>
                        <w:adjustRightInd w:val="0"/>
                        <w:spacing w:line="420" w:lineRule="exact"/>
                        <w:ind w:firstLine="896" w:firstLineChars="400"/>
                        <w:rPr>
                          <w:spacing w:val="-8"/>
                          <w:kern w:val="0"/>
                          <w:sz w:val="24"/>
                        </w:rPr>
                      </w:pPr>
                      <w:r>
                        <w:rPr>
                          <w:spacing w:val="-8"/>
                          <w:kern w:val="0"/>
                          <w:sz w:val="24"/>
                        </w:rPr>
                        <w:t>4、西岗区人口发展暨人口和计划生育事业发展专项规划;</w:t>
                      </w:r>
                    </w:p>
                    <w:p w14:paraId="7E11A7DF">
                      <w:pPr>
                        <w:adjustRightInd w:val="0"/>
                        <w:spacing w:line="420" w:lineRule="exact"/>
                        <w:ind w:firstLine="896" w:firstLineChars="400"/>
                        <w:rPr>
                          <w:spacing w:val="-8"/>
                          <w:kern w:val="0"/>
                          <w:sz w:val="24"/>
                        </w:rPr>
                      </w:pPr>
                      <w:r>
                        <w:rPr>
                          <w:spacing w:val="-8"/>
                          <w:kern w:val="0"/>
                          <w:sz w:val="24"/>
                        </w:rPr>
                        <w:t>5、西岗区智慧城区发展专项规划;</w:t>
                      </w:r>
                    </w:p>
                    <w:p w14:paraId="14CE8C8D">
                      <w:pPr>
                        <w:adjustRightInd w:val="0"/>
                        <w:spacing w:line="420" w:lineRule="exact"/>
                        <w:ind w:firstLine="896" w:firstLineChars="400"/>
                        <w:rPr>
                          <w:spacing w:val="-8"/>
                          <w:kern w:val="0"/>
                          <w:sz w:val="24"/>
                        </w:rPr>
                      </w:pPr>
                      <w:r>
                        <w:rPr>
                          <w:spacing w:val="-8"/>
                          <w:kern w:val="0"/>
                          <w:sz w:val="24"/>
                        </w:rPr>
                        <w:t>6、西岗区科技与信息产业发展专项规划;</w:t>
                      </w:r>
                    </w:p>
                    <w:p w14:paraId="5686917F">
                      <w:pPr>
                        <w:adjustRightInd w:val="0"/>
                        <w:spacing w:line="420" w:lineRule="exact"/>
                        <w:ind w:firstLine="896" w:firstLineChars="400"/>
                        <w:rPr>
                          <w:spacing w:val="-8"/>
                          <w:kern w:val="0"/>
                          <w:sz w:val="24"/>
                        </w:rPr>
                      </w:pPr>
                      <w:r>
                        <w:rPr>
                          <w:spacing w:val="-8"/>
                          <w:kern w:val="0"/>
                          <w:sz w:val="24"/>
                        </w:rPr>
                        <w:t>7、西岗区教育事业发展专项规划;</w:t>
                      </w:r>
                    </w:p>
                    <w:p w14:paraId="071547F0">
                      <w:pPr>
                        <w:adjustRightInd w:val="0"/>
                        <w:spacing w:line="420" w:lineRule="exact"/>
                        <w:ind w:firstLine="896" w:firstLineChars="400"/>
                        <w:rPr>
                          <w:spacing w:val="-8"/>
                          <w:kern w:val="0"/>
                          <w:sz w:val="24"/>
                        </w:rPr>
                      </w:pPr>
                      <w:r>
                        <w:rPr>
                          <w:spacing w:val="-8"/>
                          <w:kern w:val="0"/>
                          <w:sz w:val="24"/>
                        </w:rPr>
                        <w:t>8、西岗区民政事业发展专项规划;</w:t>
                      </w:r>
                    </w:p>
                    <w:p w14:paraId="5F1CA609">
                      <w:pPr>
                        <w:adjustRightInd w:val="0"/>
                        <w:spacing w:line="420" w:lineRule="exact"/>
                        <w:ind w:firstLine="896" w:firstLineChars="400"/>
                        <w:rPr>
                          <w:spacing w:val="-8"/>
                          <w:kern w:val="0"/>
                          <w:sz w:val="24"/>
                        </w:rPr>
                      </w:pPr>
                      <w:r>
                        <w:rPr>
                          <w:spacing w:val="-8"/>
                          <w:kern w:val="0"/>
                          <w:sz w:val="24"/>
                        </w:rPr>
                        <w:t>9、西岗区人才战略发展专项规划;</w:t>
                      </w:r>
                    </w:p>
                    <w:p w14:paraId="2C358B10">
                      <w:pPr>
                        <w:adjustRightInd w:val="0"/>
                        <w:spacing w:line="420" w:lineRule="exact"/>
                        <w:ind w:firstLine="896" w:firstLineChars="400"/>
                        <w:rPr>
                          <w:spacing w:val="-8"/>
                          <w:kern w:val="0"/>
                          <w:sz w:val="24"/>
                        </w:rPr>
                      </w:pPr>
                      <w:r>
                        <w:rPr>
                          <w:spacing w:val="-8"/>
                          <w:kern w:val="0"/>
                          <w:sz w:val="24"/>
                        </w:rPr>
                        <w:t>10、西岗区城区建设发展专项规划;</w:t>
                      </w:r>
                    </w:p>
                    <w:p w14:paraId="6787EE6C">
                      <w:pPr>
                        <w:adjustRightInd w:val="0"/>
                        <w:spacing w:line="420" w:lineRule="exact"/>
                        <w:ind w:firstLine="896" w:firstLineChars="400"/>
                        <w:rPr>
                          <w:spacing w:val="-8"/>
                          <w:kern w:val="0"/>
                          <w:sz w:val="24"/>
                        </w:rPr>
                      </w:pPr>
                      <w:r>
                        <w:rPr>
                          <w:spacing w:val="-8"/>
                          <w:kern w:val="0"/>
                          <w:sz w:val="24"/>
                        </w:rPr>
                        <w:t>11、西岗区服务业发展专项规划;</w:t>
                      </w:r>
                    </w:p>
                    <w:p w14:paraId="163D047E">
                      <w:pPr>
                        <w:adjustRightInd w:val="0"/>
                        <w:spacing w:line="420" w:lineRule="exact"/>
                        <w:ind w:firstLine="896" w:firstLineChars="400"/>
                        <w:rPr>
                          <w:spacing w:val="-8"/>
                          <w:kern w:val="0"/>
                          <w:sz w:val="24"/>
                        </w:rPr>
                      </w:pPr>
                      <w:r>
                        <w:rPr>
                          <w:spacing w:val="-8"/>
                          <w:kern w:val="0"/>
                          <w:sz w:val="24"/>
                        </w:rPr>
                        <w:t>12、西岗区健康服务业发展专项规划;</w:t>
                      </w:r>
                    </w:p>
                    <w:p w14:paraId="4331BC12">
                      <w:pPr>
                        <w:adjustRightInd w:val="0"/>
                        <w:spacing w:line="420" w:lineRule="exact"/>
                        <w:ind w:firstLine="896" w:firstLineChars="400"/>
                        <w:rPr>
                          <w:spacing w:val="-8"/>
                          <w:kern w:val="0"/>
                          <w:sz w:val="24"/>
                        </w:rPr>
                      </w:pPr>
                      <w:r>
                        <w:rPr>
                          <w:spacing w:val="-8"/>
                          <w:kern w:val="0"/>
                          <w:sz w:val="24"/>
                        </w:rPr>
                        <w:t>13、西岗区食品药品安全专项规划;</w:t>
                      </w:r>
                    </w:p>
                    <w:p w14:paraId="262EA5BF">
                      <w:pPr>
                        <w:adjustRightInd w:val="0"/>
                        <w:spacing w:line="420" w:lineRule="exact"/>
                        <w:ind w:firstLine="896" w:firstLineChars="400"/>
                        <w:rPr>
                          <w:spacing w:val="-8"/>
                          <w:kern w:val="0"/>
                          <w:sz w:val="24"/>
                        </w:rPr>
                      </w:pPr>
                      <w:r>
                        <w:rPr>
                          <w:spacing w:val="-8"/>
                          <w:kern w:val="0"/>
                          <w:sz w:val="24"/>
                        </w:rPr>
                        <w:t>14、西岗区文化体育产业发展专项规划;</w:t>
                      </w:r>
                    </w:p>
                    <w:p w14:paraId="771277B5">
                      <w:pPr>
                        <w:adjustRightInd w:val="0"/>
                        <w:spacing w:line="420" w:lineRule="exact"/>
                        <w:ind w:firstLine="896" w:firstLineChars="400"/>
                        <w:rPr>
                          <w:spacing w:val="-8"/>
                          <w:kern w:val="0"/>
                          <w:sz w:val="24"/>
                        </w:rPr>
                      </w:pPr>
                      <w:r>
                        <w:rPr>
                          <w:spacing w:val="-8"/>
                          <w:kern w:val="0"/>
                          <w:sz w:val="24"/>
                        </w:rPr>
                        <w:t>15、西岗区“十三五”期间区域合作和区域协同发展研究;</w:t>
                      </w:r>
                    </w:p>
                    <w:p w14:paraId="56F59CDF">
                      <w:pPr>
                        <w:adjustRightInd w:val="0"/>
                        <w:spacing w:line="420" w:lineRule="exact"/>
                        <w:ind w:firstLine="896" w:firstLineChars="400"/>
                        <w:rPr>
                          <w:spacing w:val="-8"/>
                          <w:kern w:val="0"/>
                          <w:sz w:val="24"/>
                        </w:rPr>
                      </w:pPr>
                      <w:r>
                        <w:rPr>
                          <w:spacing w:val="-8"/>
                          <w:kern w:val="0"/>
                          <w:sz w:val="24"/>
                        </w:rPr>
                        <w:t>16、西岗区旅游产业发展专项规划;</w:t>
                      </w:r>
                    </w:p>
                    <w:p w14:paraId="24C4BCA5">
                      <w:pPr>
                        <w:adjustRightInd w:val="0"/>
                        <w:spacing w:line="420" w:lineRule="exact"/>
                        <w:ind w:firstLine="896" w:firstLineChars="400"/>
                        <w:rPr>
                          <w:spacing w:val="-8"/>
                          <w:kern w:val="0"/>
                          <w:sz w:val="24"/>
                        </w:rPr>
                      </w:pPr>
                      <w:r>
                        <w:rPr>
                          <w:spacing w:val="-8"/>
                          <w:kern w:val="0"/>
                          <w:sz w:val="24"/>
                        </w:rPr>
                        <w:t>17、西岗区妇女儿童发展专项规划;</w:t>
                      </w:r>
                    </w:p>
                    <w:p w14:paraId="39C3648D">
                      <w:pPr>
                        <w:adjustRightInd w:val="0"/>
                        <w:spacing w:line="420" w:lineRule="exact"/>
                        <w:ind w:firstLine="896" w:firstLineChars="400"/>
                        <w:rPr>
                          <w:spacing w:val="-8"/>
                          <w:kern w:val="0"/>
                          <w:sz w:val="24"/>
                        </w:rPr>
                      </w:pPr>
                      <w:r>
                        <w:rPr>
                          <w:spacing w:val="-8"/>
                          <w:kern w:val="0"/>
                          <w:sz w:val="24"/>
                        </w:rPr>
                        <w:t>18、西岗区非银行金融产业发展专项规划。</w:t>
                      </w:r>
                    </w:p>
                  </w:txbxContent>
                </v:textbox>
                <w10:wrap type="none"/>
                <w10:anchorlock/>
              </v:shape>
            </w:pict>
          </mc:Fallback>
        </mc:AlternateContent>
      </w:r>
    </w:p>
    <w:p w14:paraId="10DBAB69">
      <w:pPr>
        <w:adjustRightInd w:val="0"/>
        <w:spacing w:line="600" w:lineRule="exact"/>
        <w:rPr>
          <w:rFonts w:hint="eastAsia" w:ascii="仿宋_GB2312" w:eastAsia="仿宋_GB2312"/>
          <w:sz w:val="34"/>
          <w:szCs w:val="34"/>
        </w:rPr>
      </w:pPr>
    </w:p>
    <w:p w14:paraId="774C7AA5">
      <w:pPr>
        <w:adjustRightInd w:val="0"/>
        <w:spacing w:line="600" w:lineRule="exact"/>
        <w:rPr>
          <w:rFonts w:hint="eastAsia" w:ascii="仿宋_GB2312" w:eastAsia="仿宋_GB2312"/>
          <w:sz w:val="34"/>
          <w:szCs w:val="34"/>
        </w:rPr>
      </w:pPr>
    </w:p>
    <w:p w14:paraId="2747DE49">
      <w:pPr>
        <w:spacing w:line="600" w:lineRule="exact"/>
        <w:ind w:firstLine="680" w:firstLineChars="200"/>
        <w:rPr>
          <w:rFonts w:hint="eastAsia" w:ascii="仿宋_GB2312" w:hAnsi="宋体" w:eastAsia="仿宋_GB2312" w:cs="宋体"/>
          <w:sz w:val="34"/>
          <w:szCs w:val="34"/>
        </w:rPr>
      </w:pPr>
    </w:p>
    <w:p w14:paraId="6E6BA45A">
      <w:pPr>
        <w:spacing w:line="600" w:lineRule="exact"/>
        <w:ind w:firstLine="680" w:firstLineChars="200"/>
        <w:rPr>
          <w:rFonts w:hint="eastAsia" w:ascii="仿宋_GB2312" w:hAnsi="宋体" w:eastAsia="仿宋_GB2312" w:cs="宋体"/>
          <w:sz w:val="34"/>
          <w:szCs w:val="34"/>
        </w:rPr>
      </w:pPr>
    </w:p>
    <w:p w14:paraId="11A42E4B">
      <w:pPr>
        <w:spacing w:line="600" w:lineRule="exact"/>
        <w:ind w:firstLine="680" w:firstLineChars="200"/>
        <w:rPr>
          <w:rFonts w:hint="eastAsia" w:ascii="仿宋_GB2312" w:hAnsi="宋体" w:eastAsia="仿宋_GB2312" w:cs="宋体"/>
          <w:sz w:val="34"/>
          <w:szCs w:val="34"/>
        </w:rPr>
      </w:pPr>
    </w:p>
    <w:p w14:paraId="014E22BF">
      <w:pPr>
        <w:spacing w:line="600" w:lineRule="exact"/>
        <w:ind w:firstLine="680" w:firstLineChars="200"/>
        <w:rPr>
          <w:rFonts w:hint="eastAsia" w:ascii="仿宋_GB2312" w:hAnsi="宋体" w:eastAsia="仿宋_GB2312" w:cs="宋体"/>
          <w:sz w:val="34"/>
          <w:szCs w:val="34"/>
        </w:rPr>
      </w:pPr>
    </w:p>
    <w:p w14:paraId="2F4F1C80">
      <w:pPr>
        <w:spacing w:line="600" w:lineRule="exact"/>
        <w:ind w:firstLine="680" w:firstLineChars="200"/>
        <w:rPr>
          <w:rFonts w:hint="eastAsia" w:ascii="仿宋_GB2312" w:hAnsi="宋体" w:eastAsia="仿宋_GB2312" w:cs="宋体"/>
          <w:sz w:val="34"/>
          <w:szCs w:val="34"/>
        </w:rPr>
      </w:pPr>
    </w:p>
    <w:p w14:paraId="448D3B6B">
      <w:pPr>
        <w:spacing w:line="600" w:lineRule="exact"/>
        <w:ind w:firstLine="680" w:firstLineChars="200"/>
        <w:rPr>
          <w:rFonts w:hint="eastAsia" w:ascii="仿宋_GB2312" w:hAnsi="宋体" w:eastAsia="仿宋_GB2312" w:cs="宋体"/>
          <w:sz w:val="34"/>
          <w:szCs w:val="34"/>
        </w:rPr>
      </w:pPr>
    </w:p>
    <w:p w14:paraId="5CA4D2FA">
      <w:pPr>
        <w:spacing w:line="600" w:lineRule="exact"/>
        <w:ind w:firstLine="680" w:firstLineChars="200"/>
        <w:rPr>
          <w:rFonts w:hint="eastAsia" w:ascii="仿宋_GB2312" w:hAnsi="宋体" w:eastAsia="仿宋_GB2312" w:cs="宋体"/>
          <w:sz w:val="34"/>
          <w:szCs w:val="34"/>
        </w:rPr>
      </w:pPr>
    </w:p>
    <w:p w14:paraId="72B49F40">
      <w:pPr>
        <w:spacing w:line="600" w:lineRule="exact"/>
        <w:ind w:firstLine="680" w:firstLineChars="200"/>
        <w:rPr>
          <w:rFonts w:hint="eastAsia" w:ascii="仿宋_GB2312" w:hAnsi="宋体" w:eastAsia="仿宋_GB2312" w:cs="宋体"/>
          <w:sz w:val="34"/>
          <w:szCs w:val="34"/>
        </w:rPr>
      </w:pPr>
    </w:p>
    <w:p w14:paraId="1177027B">
      <w:pPr>
        <w:spacing w:line="600" w:lineRule="exact"/>
        <w:ind w:firstLine="680" w:firstLineChars="200"/>
        <w:rPr>
          <w:rFonts w:hint="eastAsia" w:ascii="仿宋_GB2312" w:hAnsi="宋体" w:eastAsia="仿宋_GB2312" w:cs="宋体"/>
          <w:sz w:val="34"/>
          <w:szCs w:val="34"/>
        </w:rPr>
      </w:pPr>
    </w:p>
    <w:p w14:paraId="4198E7AB">
      <w:pPr>
        <w:spacing w:line="600" w:lineRule="exact"/>
        <w:ind w:firstLine="680" w:firstLineChars="200"/>
        <w:rPr>
          <w:rFonts w:hint="eastAsia" w:ascii="仿宋_GB2312" w:hAnsi="宋体" w:eastAsia="仿宋_GB2312" w:cs="宋体"/>
          <w:sz w:val="34"/>
          <w:szCs w:val="34"/>
        </w:rPr>
      </w:pPr>
    </w:p>
    <w:p w14:paraId="47E28D43">
      <w:pPr>
        <w:spacing w:line="600" w:lineRule="exact"/>
        <w:ind w:firstLine="680" w:firstLineChars="200"/>
        <w:rPr>
          <w:rFonts w:hint="eastAsia" w:ascii="仿宋_GB2312" w:hAnsi="宋体" w:eastAsia="仿宋_GB2312" w:cs="宋体"/>
          <w:sz w:val="34"/>
          <w:szCs w:val="34"/>
        </w:rPr>
      </w:pPr>
    </w:p>
    <w:p w14:paraId="101B029A">
      <w:pPr>
        <w:spacing w:line="600" w:lineRule="exact"/>
        <w:ind w:firstLine="680" w:firstLineChars="200"/>
        <w:rPr>
          <w:rFonts w:hint="eastAsia" w:ascii="仿宋_GB2312" w:hAnsi="宋体" w:eastAsia="仿宋_GB2312" w:cs="宋体"/>
          <w:sz w:val="34"/>
          <w:szCs w:val="34"/>
        </w:rPr>
      </w:pPr>
    </w:p>
    <w:p w14:paraId="3B7EF6DF">
      <w:pPr>
        <w:spacing w:line="600" w:lineRule="exact"/>
        <w:ind w:firstLine="680" w:firstLineChars="200"/>
        <w:rPr>
          <w:rFonts w:hint="eastAsia" w:ascii="仿宋_GB2312" w:hAnsi="宋体" w:eastAsia="仿宋_GB2312" w:cs="宋体"/>
          <w:bCs/>
          <w:kern w:val="0"/>
          <w:sz w:val="34"/>
          <w:szCs w:val="34"/>
        </w:rPr>
      </w:pPr>
      <w:r>
        <w:rPr>
          <w:rFonts w:hint="eastAsia" w:ascii="仿宋_GB2312" w:hAnsi="宋体" w:eastAsia="仿宋_GB2312" w:cs="宋体"/>
          <w:sz w:val="34"/>
          <w:szCs w:val="34"/>
        </w:rPr>
        <w:t>附：1.西岗区“十三五”时期经济社会发展主要目标完成情况；</w:t>
      </w:r>
    </w:p>
    <w:p w14:paraId="7618FC50">
      <w:pPr>
        <w:spacing w:line="600" w:lineRule="exact"/>
        <w:ind w:firstLine="680" w:firstLineChars="200"/>
        <w:rPr>
          <w:rFonts w:hint="eastAsia" w:ascii="仿宋_GB2312" w:hAnsi="宋体" w:eastAsia="仿宋_GB2312" w:cs="宋体"/>
          <w:bCs/>
          <w:kern w:val="0"/>
          <w:sz w:val="34"/>
          <w:szCs w:val="34"/>
        </w:rPr>
      </w:pPr>
      <w:r>
        <w:rPr>
          <w:rFonts w:hint="eastAsia" w:ascii="仿宋_GB2312" w:hAnsi="宋体" w:eastAsia="仿宋_GB2312" w:cs="宋体"/>
          <w:sz w:val="34"/>
          <w:szCs w:val="34"/>
        </w:rPr>
        <w:t>2.西岗区“十三五”时期经济社会发展主要目标；</w:t>
      </w:r>
    </w:p>
    <w:p w14:paraId="6C446C77">
      <w:pPr>
        <w:spacing w:line="600" w:lineRule="exact"/>
        <w:ind w:firstLine="680" w:firstLineChars="200"/>
        <w:rPr>
          <w:rFonts w:hint="eastAsia" w:ascii="仿宋_GB2312" w:hAnsi="宋体" w:eastAsia="仿宋_GB2312" w:cs="宋体"/>
          <w:bCs/>
          <w:kern w:val="0"/>
          <w:sz w:val="34"/>
          <w:szCs w:val="34"/>
        </w:rPr>
      </w:pPr>
      <w:r>
        <w:rPr>
          <w:rFonts w:hint="eastAsia" w:ascii="仿宋_GB2312" w:hAnsi="宋体" w:eastAsia="仿宋_GB2312" w:cs="宋体"/>
          <w:sz w:val="34"/>
          <w:szCs w:val="34"/>
        </w:rPr>
        <w:t>3.名词解释；</w:t>
      </w:r>
    </w:p>
    <w:p w14:paraId="32A28C6D">
      <w:pPr>
        <w:spacing w:line="600" w:lineRule="exact"/>
        <w:ind w:firstLine="680" w:firstLineChars="200"/>
        <w:rPr>
          <w:rFonts w:hint="eastAsia" w:ascii="仿宋_GB2312" w:hAnsi="宋体" w:eastAsia="仿宋_GB2312" w:cs="宋体"/>
          <w:bCs/>
          <w:kern w:val="0"/>
          <w:sz w:val="34"/>
          <w:szCs w:val="34"/>
        </w:rPr>
      </w:pPr>
      <w:r>
        <w:rPr>
          <w:rFonts w:hint="eastAsia" w:ascii="仿宋_GB2312" w:hAnsi="宋体" w:eastAsia="仿宋_GB2312" w:cs="宋体"/>
          <w:sz w:val="34"/>
          <w:szCs w:val="34"/>
        </w:rPr>
        <w:t>4.关于制定《大连市西岗区国民经济和社会发展第十三个五年规划纲要（草案）》的说明。</w:t>
      </w:r>
    </w:p>
    <w:p w14:paraId="00404C58">
      <w:pPr>
        <w:adjustRightInd w:val="0"/>
        <w:spacing w:after="156" w:afterLines="50"/>
        <w:ind w:left="-8" w:leftChars="-4"/>
        <w:rPr>
          <w:rFonts w:eastAsia="黑体"/>
          <w:sz w:val="34"/>
          <w:szCs w:val="34"/>
        </w:rPr>
      </w:pPr>
      <w:r>
        <w:rPr>
          <w:rFonts w:eastAsia="黑体"/>
          <w:sz w:val="32"/>
          <w:szCs w:val="32"/>
        </w:rPr>
        <w:br w:type="page"/>
      </w:r>
      <w:r>
        <w:rPr>
          <w:rFonts w:eastAsia="黑体"/>
          <w:sz w:val="34"/>
          <w:szCs w:val="34"/>
        </w:rPr>
        <w:t>附件1:</w:t>
      </w:r>
    </w:p>
    <w:p w14:paraId="7A7A1E20">
      <w:pPr>
        <w:spacing w:line="600" w:lineRule="exact"/>
        <w:jc w:val="center"/>
        <w:rPr>
          <w:rFonts w:hint="eastAsia" w:ascii="方正小标宋简体" w:eastAsia="方正小标宋简体"/>
          <w:kern w:val="0"/>
          <w:sz w:val="44"/>
          <w:szCs w:val="44"/>
        </w:rPr>
      </w:pPr>
      <w:r>
        <w:rPr>
          <w:rFonts w:hint="eastAsia" w:ascii="方正小标宋简体" w:eastAsia="方正小标宋简体"/>
          <w:bCs/>
          <w:kern w:val="0"/>
          <w:sz w:val="44"/>
          <w:szCs w:val="44"/>
        </w:rPr>
        <w:t>西岗区</w:t>
      </w:r>
      <w:r>
        <w:rPr>
          <w:rFonts w:hint="eastAsia" w:ascii="方正小标宋简体" w:eastAsia="方正小标宋简体"/>
          <w:kern w:val="0"/>
          <w:sz w:val="44"/>
          <w:szCs w:val="44"/>
        </w:rPr>
        <w:t>“十二五”时期经济社会发展</w:t>
      </w:r>
    </w:p>
    <w:p w14:paraId="2DE8A9EA">
      <w:pPr>
        <w:spacing w:line="600" w:lineRule="exact"/>
        <w:jc w:val="center"/>
        <w:rPr>
          <w:rFonts w:hint="eastAsia" w:ascii="方正小标宋简体" w:eastAsia="方正小标宋简体"/>
          <w:kern w:val="0"/>
          <w:sz w:val="44"/>
          <w:szCs w:val="44"/>
        </w:rPr>
      </w:pPr>
      <w:r>
        <w:rPr>
          <w:rFonts w:hint="eastAsia" w:ascii="方正小标宋简体" w:eastAsia="方正小标宋简体"/>
          <w:kern w:val="0"/>
          <w:sz w:val="44"/>
          <w:szCs w:val="44"/>
        </w:rPr>
        <w:t>主要目标完成情况</w:t>
      </w:r>
    </w:p>
    <w:p w14:paraId="397EBB28">
      <w:pPr>
        <w:spacing w:line="600" w:lineRule="exact"/>
        <w:jc w:val="center"/>
        <w:rPr>
          <w:rFonts w:hint="eastAsia" w:ascii="方正小标宋简体" w:eastAsia="方正小标宋简体"/>
          <w:kern w:val="0"/>
          <w:sz w:val="44"/>
          <w:szCs w:val="44"/>
        </w:rPr>
      </w:pPr>
    </w:p>
    <w:tbl>
      <w:tblPr>
        <w:tblStyle w:val="17"/>
        <w:tblW w:w="9976" w:type="dxa"/>
        <w:jc w:val="center"/>
        <w:tblLayout w:type="autofit"/>
        <w:tblCellMar>
          <w:top w:w="0" w:type="dxa"/>
          <w:left w:w="108" w:type="dxa"/>
          <w:bottom w:w="0" w:type="dxa"/>
          <w:right w:w="108" w:type="dxa"/>
        </w:tblCellMar>
      </w:tblPr>
      <w:tblGrid>
        <w:gridCol w:w="496"/>
        <w:gridCol w:w="3063"/>
        <w:gridCol w:w="820"/>
        <w:gridCol w:w="1106"/>
        <w:gridCol w:w="1108"/>
        <w:gridCol w:w="1106"/>
        <w:gridCol w:w="1108"/>
        <w:gridCol w:w="1169"/>
      </w:tblGrid>
      <w:tr w14:paraId="58766174">
        <w:tblPrEx>
          <w:tblCellMar>
            <w:top w:w="0" w:type="dxa"/>
            <w:left w:w="108" w:type="dxa"/>
            <w:bottom w:w="0" w:type="dxa"/>
            <w:right w:w="108" w:type="dxa"/>
          </w:tblCellMar>
        </w:tblPrEx>
        <w:trPr>
          <w:wBefore w:w="0" w:type="dxa"/>
          <w:wAfter w:w="0" w:type="dxa"/>
          <w:trHeight w:val="634" w:hRule="atLeast"/>
          <w:jc w:val="center"/>
        </w:trPr>
        <w:tc>
          <w:tcPr>
            <w:tcW w:w="496" w:type="dxa"/>
            <w:vMerge w:val="restart"/>
            <w:tcBorders>
              <w:top w:val="single" w:color="auto" w:sz="4" w:space="0"/>
              <w:left w:val="single" w:color="auto" w:sz="4" w:space="0"/>
              <w:bottom w:val="nil"/>
              <w:right w:val="single" w:color="auto" w:sz="4" w:space="0"/>
            </w:tcBorders>
            <w:shd w:val="clear" w:color="auto" w:fill="auto"/>
            <w:noWrap w:val="0"/>
            <w:vAlign w:val="center"/>
          </w:tcPr>
          <w:p w14:paraId="545C6D82">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分类</w:t>
            </w:r>
          </w:p>
        </w:tc>
        <w:tc>
          <w:tcPr>
            <w:tcW w:w="30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B5698E2">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指标名称</w:t>
            </w:r>
          </w:p>
        </w:tc>
        <w:tc>
          <w:tcPr>
            <w:tcW w:w="82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07C1F9D">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单位</w:t>
            </w:r>
          </w:p>
        </w:tc>
        <w:tc>
          <w:tcPr>
            <w:tcW w:w="22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2436243">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2015目标</w:t>
            </w:r>
          </w:p>
        </w:tc>
        <w:tc>
          <w:tcPr>
            <w:tcW w:w="22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5FC9A9">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2015年完成</w:t>
            </w:r>
          </w:p>
        </w:tc>
        <w:tc>
          <w:tcPr>
            <w:tcW w:w="116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2B80B60">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指标</w:t>
            </w:r>
          </w:p>
          <w:p w14:paraId="15AB2598">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属性</w:t>
            </w:r>
          </w:p>
        </w:tc>
      </w:tr>
      <w:tr w14:paraId="1AF7B01C">
        <w:tblPrEx>
          <w:tblCellMar>
            <w:top w:w="0" w:type="dxa"/>
            <w:left w:w="108" w:type="dxa"/>
            <w:bottom w:w="0" w:type="dxa"/>
            <w:right w:w="108" w:type="dxa"/>
          </w:tblCellMar>
        </w:tblPrEx>
        <w:trPr>
          <w:wBefore w:w="0" w:type="dxa"/>
          <w:wAfter w:w="0" w:type="dxa"/>
          <w:trHeight w:val="285" w:hRule="atLeast"/>
          <w:jc w:val="center"/>
        </w:trPr>
        <w:tc>
          <w:tcPr>
            <w:tcW w:w="496" w:type="dxa"/>
            <w:vMerge w:val="continue"/>
            <w:tcBorders>
              <w:left w:val="single" w:color="auto" w:sz="4" w:space="0"/>
              <w:right w:val="single" w:color="auto" w:sz="4" w:space="0"/>
            </w:tcBorders>
            <w:shd w:val="clear" w:color="auto" w:fill="auto"/>
            <w:noWrap w:val="0"/>
            <w:vAlign w:val="top"/>
          </w:tcPr>
          <w:p w14:paraId="1623C67E">
            <w:pPr>
              <w:widowControl/>
              <w:spacing w:line="400" w:lineRule="exact"/>
              <w:jc w:val="left"/>
              <w:rPr>
                <w:rFonts w:ascii="黑体" w:hAnsi="黑体" w:eastAsia="黑体"/>
                <w:bCs/>
                <w:kern w:val="0"/>
                <w:sz w:val="28"/>
                <w:szCs w:val="28"/>
              </w:rPr>
            </w:pPr>
          </w:p>
        </w:tc>
        <w:tc>
          <w:tcPr>
            <w:tcW w:w="306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DF3F446">
            <w:pPr>
              <w:widowControl/>
              <w:spacing w:line="400" w:lineRule="exact"/>
              <w:jc w:val="left"/>
              <w:rPr>
                <w:rFonts w:ascii="黑体" w:hAnsi="黑体" w:eastAsia="黑体"/>
                <w:bCs/>
                <w:kern w:val="0"/>
                <w:sz w:val="28"/>
                <w:szCs w:val="28"/>
              </w:rPr>
            </w:pPr>
          </w:p>
        </w:tc>
        <w:tc>
          <w:tcPr>
            <w:tcW w:w="8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0394693">
            <w:pPr>
              <w:widowControl/>
              <w:spacing w:line="400" w:lineRule="exact"/>
              <w:jc w:val="left"/>
              <w:rPr>
                <w:rFonts w:ascii="黑体" w:hAnsi="黑体" w:eastAsia="黑体"/>
                <w:bCs/>
                <w:kern w:val="0"/>
                <w:sz w:val="28"/>
                <w:szCs w:val="28"/>
              </w:rPr>
            </w:pPr>
          </w:p>
        </w:tc>
        <w:tc>
          <w:tcPr>
            <w:tcW w:w="1106" w:type="dxa"/>
            <w:tcBorders>
              <w:top w:val="nil"/>
              <w:left w:val="nil"/>
              <w:bottom w:val="nil"/>
              <w:right w:val="single" w:color="auto" w:sz="4" w:space="0"/>
            </w:tcBorders>
            <w:shd w:val="clear" w:color="auto" w:fill="auto"/>
            <w:noWrap w:val="0"/>
            <w:vAlign w:val="center"/>
          </w:tcPr>
          <w:p w14:paraId="7504E292">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预期</w:t>
            </w:r>
          </w:p>
        </w:tc>
        <w:tc>
          <w:tcPr>
            <w:tcW w:w="1108" w:type="dxa"/>
            <w:vMerge w:val="restart"/>
            <w:tcBorders>
              <w:top w:val="nil"/>
              <w:left w:val="single" w:color="auto" w:sz="4" w:space="0"/>
              <w:bottom w:val="single" w:color="auto" w:sz="4" w:space="0"/>
              <w:right w:val="single" w:color="auto" w:sz="4" w:space="0"/>
            </w:tcBorders>
            <w:shd w:val="clear" w:color="auto" w:fill="auto"/>
            <w:noWrap w:val="0"/>
            <w:vAlign w:val="center"/>
          </w:tcPr>
          <w:p w14:paraId="02783E90">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年均增长（%）</w:t>
            </w:r>
          </w:p>
        </w:tc>
        <w:tc>
          <w:tcPr>
            <w:tcW w:w="1106" w:type="dxa"/>
            <w:tcBorders>
              <w:top w:val="nil"/>
              <w:left w:val="nil"/>
              <w:bottom w:val="nil"/>
              <w:right w:val="single" w:color="auto" w:sz="4" w:space="0"/>
            </w:tcBorders>
            <w:shd w:val="clear" w:color="auto" w:fill="auto"/>
            <w:noWrap w:val="0"/>
            <w:vAlign w:val="center"/>
          </w:tcPr>
          <w:p w14:paraId="07DA7B67">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实际</w:t>
            </w:r>
          </w:p>
        </w:tc>
        <w:tc>
          <w:tcPr>
            <w:tcW w:w="1108" w:type="dxa"/>
            <w:vMerge w:val="restart"/>
            <w:tcBorders>
              <w:top w:val="nil"/>
              <w:left w:val="single" w:color="auto" w:sz="4" w:space="0"/>
              <w:bottom w:val="single" w:color="auto" w:sz="4" w:space="0"/>
              <w:right w:val="single" w:color="auto" w:sz="4" w:space="0"/>
            </w:tcBorders>
            <w:shd w:val="clear" w:color="auto" w:fill="auto"/>
            <w:noWrap w:val="0"/>
            <w:vAlign w:val="center"/>
          </w:tcPr>
          <w:p w14:paraId="70FB3B19">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年均增长（%）</w:t>
            </w:r>
          </w:p>
        </w:tc>
        <w:tc>
          <w:tcPr>
            <w:tcW w:w="1169" w:type="dxa"/>
            <w:vMerge w:val="continue"/>
            <w:tcBorders>
              <w:top w:val="nil"/>
              <w:left w:val="single" w:color="auto" w:sz="4" w:space="0"/>
              <w:bottom w:val="single" w:color="auto" w:sz="4" w:space="0"/>
              <w:right w:val="single" w:color="auto" w:sz="4" w:space="0"/>
            </w:tcBorders>
            <w:noWrap w:val="0"/>
            <w:vAlign w:val="center"/>
          </w:tcPr>
          <w:p w14:paraId="1503502A">
            <w:pPr>
              <w:widowControl/>
              <w:spacing w:line="400" w:lineRule="exact"/>
              <w:jc w:val="left"/>
              <w:rPr>
                <w:rFonts w:ascii="黑体" w:hAnsi="黑体" w:eastAsia="黑体"/>
                <w:bCs/>
                <w:kern w:val="0"/>
                <w:sz w:val="28"/>
                <w:szCs w:val="28"/>
              </w:rPr>
            </w:pPr>
          </w:p>
        </w:tc>
      </w:tr>
      <w:tr w14:paraId="7D3E1ED0">
        <w:tblPrEx>
          <w:tblCellMar>
            <w:top w:w="0" w:type="dxa"/>
            <w:left w:w="108" w:type="dxa"/>
            <w:bottom w:w="0" w:type="dxa"/>
            <w:right w:w="108" w:type="dxa"/>
          </w:tblCellMar>
        </w:tblPrEx>
        <w:trPr>
          <w:wBefore w:w="0" w:type="dxa"/>
          <w:wAfter w:w="0" w:type="dxa"/>
          <w:trHeight w:val="285" w:hRule="atLeast"/>
          <w:jc w:val="center"/>
        </w:trPr>
        <w:tc>
          <w:tcPr>
            <w:tcW w:w="496" w:type="dxa"/>
            <w:vMerge w:val="continue"/>
            <w:tcBorders>
              <w:left w:val="single" w:color="auto" w:sz="4" w:space="0"/>
              <w:bottom w:val="single" w:color="auto" w:sz="4" w:space="0"/>
              <w:right w:val="single" w:color="auto" w:sz="4" w:space="0"/>
            </w:tcBorders>
            <w:shd w:val="clear" w:color="auto" w:fill="auto"/>
            <w:noWrap w:val="0"/>
            <w:vAlign w:val="top"/>
          </w:tcPr>
          <w:p w14:paraId="61CE4C5A">
            <w:pPr>
              <w:widowControl/>
              <w:spacing w:line="400" w:lineRule="exact"/>
              <w:jc w:val="left"/>
              <w:rPr>
                <w:rFonts w:ascii="黑体" w:hAnsi="黑体" w:eastAsia="黑体"/>
                <w:bCs/>
                <w:kern w:val="0"/>
                <w:sz w:val="28"/>
                <w:szCs w:val="28"/>
              </w:rPr>
            </w:pPr>
          </w:p>
        </w:tc>
        <w:tc>
          <w:tcPr>
            <w:tcW w:w="306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8EE147F">
            <w:pPr>
              <w:widowControl/>
              <w:spacing w:line="400" w:lineRule="exact"/>
              <w:jc w:val="left"/>
              <w:rPr>
                <w:rFonts w:ascii="黑体" w:hAnsi="黑体" w:eastAsia="黑体"/>
                <w:bCs/>
                <w:kern w:val="0"/>
                <w:sz w:val="28"/>
                <w:szCs w:val="28"/>
              </w:rPr>
            </w:pPr>
          </w:p>
        </w:tc>
        <w:tc>
          <w:tcPr>
            <w:tcW w:w="8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0165911">
            <w:pPr>
              <w:widowControl/>
              <w:spacing w:line="400" w:lineRule="exact"/>
              <w:jc w:val="left"/>
              <w:rPr>
                <w:rFonts w:ascii="黑体" w:hAnsi="黑体" w:eastAsia="黑体"/>
                <w:bCs/>
                <w:kern w:val="0"/>
                <w:sz w:val="28"/>
                <w:szCs w:val="28"/>
              </w:rPr>
            </w:pPr>
          </w:p>
        </w:tc>
        <w:tc>
          <w:tcPr>
            <w:tcW w:w="1106" w:type="dxa"/>
            <w:tcBorders>
              <w:top w:val="nil"/>
              <w:left w:val="nil"/>
              <w:bottom w:val="single" w:color="auto" w:sz="4" w:space="0"/>
              <w:right w:val="single" w:color="auto" w:sz="4" w:space="0"/>
            </w:tcBorders>
            <w:shd w:val="clear" w:color="auto" w:fill="auto"/>
            <w:noWrap w:val="0"/>
            <w:vAlign w:val="center"/>
          </w:tcPr>
          <w:p w14:paraId="3EC0CE93">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目标</w:t>
            </w:r>
          </w:p>
        </w:tc>
        <w:tc>
          <w:tcPr>
            <w:tcW w:w="110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5D4F0EA">
            <w:pPr>
              <w:widowControl/>
              <w:spacing w:line="400" w:lineRule="exact"/>
              <w:jc w:val="left"/>
              <w:rPr>
                <w:rFonts w:ascii="黑体" w:hAnsi="黑体" w:eastAsia="黑体"/>
                <w:bCs/>
                <w:kern w:val="0"/>
                <w:sz w:val="28"/>
                <w:szCs w:val="28"/>
              </w:rPr>
            </w:pPr>
          </w:p>
        </w:tc>
        <w:tc>
          <w:tcPr>
            <w:tcW w:w="1106" w:type="dxa"/>
            <w:tcBorders>
              <w:top w:val="nil"/>
              <w:left w:val="nil"/>
              <w:bottom w:val="single" w:color="auto" w:sz="4" w:space="0"/>
              <w:right w:val="single" w:color="auto" w:sz="4" w:space="0"/>
            </w:tcBorders>
            <w:shd w:val="clear" w:color="auto" w:fill="auto"/>
            <w:noWrap w:val="0"/>
            <w:vAlign w:val="center"/>
          </w:tcPr>
          <w:p w14:paraId="20DF066A">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完成</w:t>
            </w:r>
          </w:p>
        </w:tc>
        <w:tc>
          <w:tcPr>
            <w:tcW w:w="1108" w:type="dxa"/>
            <w:vMerge w:val="continue"/>
            <w:tcBorders>
              <w:top w:val="nil"/>
              <w:left w:val="single" w:color="auto" w:sz="4" w:space="0"/>
              <w:bottom w:val="single" w:color="auto" w:sz="4" w:space="0"/>
              <w:right w:val="single" w:color="auto" w:sz="4" w:space="0"/>
            </w:tcBorders>
            <w:noWrap w:val="0"/>
            <w:vAlign w:val="center"/>
          </w:tcPr>
          <w:p w14:paraId="1B79EAA6">
            <w:pPr>
              <w:widowControl/>
              <w:spacing w:line="400" w:lineRule="exact"/>
              <w:jc w:val="left"/>
              <w:rPr>
                <w:rFonts w:ascii="黑体" w:hAnsi="黑体" w:eastAsia="黑体"/>
                <w:bCs/>
                <w:kern w:val="0"/>
                <w:sz w:val="28"/>
                <w:szCs w:val="28"/>
              </w:rPr>
            </w:pPr>
          </w:p>
        </w:tc>
        <w:tc>
          <w:tcPr>
            <w:tcW w:w="1169" w:type="dxa"/>
            <w:vMerge w:val="continue"/>
            <w:tcBorders>
              <w:top w:val="nil"/>
              <w:left w:val="single" w:color="auto" w:sz="4" w:space="0"/>
              <w:bottom w:val="single" w:color="auto" w:sz="4" w:space="0"/>
              <w:right w:val="single" w:color="auto" w:sz="4" w:space="0"/>
            </w:tcBorders>
            <w:noWrap w:val="0"/>
            <w:vAlign w:val="center"/>
          </w:tcPr>
          <w:p w14:paraId="43A1D22A">
            <w:pPr>
              <w:widowControl/>
              <w:spacing w:line="400" w:lineRule="exact"/>
              <w:jc w:val="left"/>
              <w:rPr>
                <w:rFonts w:ascii="黑体" w:hAnsi="黑体" w:eastAsia="黑体"/>
                <w:bCs/>
                <w:kern w:val="0"/>
                <w:sz w:val="28"/>
                <w:szCs w:val="28"/>
              </w:rPr>
            </w:pPr>
          </w:p>
        </w:tc>
      </w:tr>
      <w:tr w14:paraId="202BFF49">
        <w:tblPrEx>
          <w:tblCellMar>
            <w:top w:w="0" w:type="dxa"/>
            <w:left w:w="108" w:type="dxa"/>
            <w:bottom w:w="0" w:type="dxa"/>
            <w:right w:w="108" w:type="dxa"/>
          </w:tblCellMar>
        </w:tblPrEx>
        <w:trPr>
          <w:wBefore w:w="0" w:type="dxa"/>
          <w:wAfter w:w="0" w:type="dxa"/>
          <w:trHeight w:val="397" w:hRule="atLeast"/>
          <w:jc w:val="center"/>
        </w:trPr>
        <w:tc>
          <w:tcPr>
            <w:tcW w:w="496" w:type="dxa"/>
            <w:vMerge w:val="restart"/>
            <w:tcBorders>
              <w:top w:val="nil"/>
              <w:left w:val="single" w:color="auto" w:sz="4" w:space="0"/>
              <w:right w:val="single" w:color="auto" w:sz="4" w:space="0"/>
            </w:tcBorders>
            <w:shd w:val="clear" w:color="auto" w:fill="auto"/>
            <w:noWrap w:val="0"/>
            <w:vAlign w:val="center"/>
          </w:tcPr>
          <w:p w14:paraId="2B90EF8C">
            <w:pPr>
              <w:widowControl/>
              <w:spacing w:line="400" w:lineRule="exact"/>
              <w:jc w:val="center"/>
              <w:rPr>
                <w:rFonts w:hint="eastAsia" w:ascii="仿宋_GB2312" w:eastAsia="仿宋_GB2312"/>
                <w:kern w:val="0"/>
                <w:sz w:val="24"/>
              </w:rPr>
            </w:pPr>
            <w:r>
              <w:rPr>
                <w:rFonts w:hint="eastAsia" w:ascii="仿宋_GB2312" w:eastAsia="仿宋_GB2312"/>
                <w:kern w:val="0"/>
                <w:sz w:val="24"/>
              </w:rPr>
              <w:t>经济发展</w:t>
            </w: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21E8AF04">
            <w:pPr>
              <w:widowControl/>
              <w:spacing w:line="400" w:lineRule="exact"/>
              <w:rPr>
                <w:rFonts w:hint="eastAsia" w:ascii="仿宋_GB2312" w:eastAsia="仿宋_GB2312"/>
                <w:kern w:val="0"/>
                <w:sz w:val="24"/>
              </w:rPr>
            </w:pPr>
            <w:r>
              <w:rPr>
                <w:rFonts w:hint="eastAsia" w:ascii="仿宋_GB2312" w:eastAsia="仿宋_GB2312"/>
                <w:kern w:val="0"/>
                <w:sz w:val="24"/>
              </w:rPr>
              <w:t>1、地区生产总值</w:t>
            </w:r>
          </w:p>
        </w:tc>
        <w:tc>
          <w:tcPr>
            <w:tcW w:w="820" w:type="dxa"/>
            <w:tcBorders>
              <w:top w:val="nil"/>
              <w:left w:val="nil"/>
              <w:bottom w:val="single" w:color="auto" w:sz="4" w:space="0"/>
              <w:right w:val="single" w:color="auto" w:sz="4" w:space="0"/>
            </w:tcBorders>
            <w:shd w:val="clear" w:color="auto" w:fill="auto"/>
            <w:noWrap w:val="0"/>
            <w:vAlign w:val="center"/>
          </w:tcPr>
          <w:p w14:paraId="25C8AD43">
            <w:pPr>
              <w:widowControl/>
              <w:spacing w:line="400" w:lineRule="exact"/>
              <w:jc w:val="center"/>
              <w:rPr>
                <w:rFonts w:hint="eastAsia" w:ascii="仿宋_GB2312" w:eastAsia="仿宋_GB2312"/>
                <w:kern w:val="0"/>
                <w:sz w:val="24"/>
              </w:rPr>
            </w:pPr>
            <w:r>
              <w:rPr>
                <w:rFonts w:hint="eastAsia" w:ascii="仿宋_GB2312" w:eastAsia="仿宋_GB2312"/>
                <w:kern w:val="0"/>
                <w:sz w:val="24"/>
              </w:rPr>
              <w:t>亿元</w:t>
            </w:r>
          </w:p>
        </w:tc>
        <w:tc>
          <w:tcPr>
            <w:tcW w:w="1106" w:type="dxa"/>
            <w:tcBorders>
              <w:top w:val="nil"/>
              <w:left w:val="nil"/>
              <w:bottom w:val="single" w:color="auto" w:sz="4" w:space="0"/>
              <w:right w:val="single" w:color="auto" w:sz="4" w:space="0"/>
            </w:tcBorders>
            <w:shd w:val="clear" w:color="auto" w:fill="auto"/>
            <w:noWrap w:val="0"/>
            <w:vAlign w:val="center"/>
          </w:tcPr>
          <w:p w14:paraId="099ACAE7">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8" w:type="dxa"/>
            <w:tcBorders>
              <w:top w:val="nil"/>
              <w:left w:val="nil"/>
              <w:bottom w:val="single" w:color="auto" w:sz="4" w:space="0"/>
              <w:right w:val="single" w:color="auto" w:sz="4" w:space="0"/>
            </w:tcBorders>
            <w:shd w:val="clear" w:color="auto" w:fill="auto"/>
            <w:noWrap w:val="0"/>
            <w:vAlign w:val="center"/>
          </w:tcPr>
          <w:p w14:paraId="647E4116">
            <w:pPr>
              <w:widowControl/>
              <w:spacing w:line="400" w:lineRule="exact"/>
              <w:jc w:val="center"/>
              <w:rPr>
                <w:rFonts w:hint="eastAsia" w:ascii="仿宋_GB2312" w:eastAsia="仿宋_GB2312"/>
                <w:kern w:val="0"/>
                <w:sz w:val="24"/>
              </w:rPr>
            </w:pPr>
            <w:r>
              <w:rPr>
                <w:rFonts w:hint="eastAsia" w:ascii="仿宋_GB2312" w:eastAsia="仿宋_GB2312"/>
                <w:kern w:val="0"/>
                <w:sz w:val="24"/>
              </w:rPr>
              <w:t>15</w:t>
            </w:r>
          </w:p>
        </w:tc>
        <w:tc>
          <w:tcPr>
            <w:tcW w:w="1106" w:type="dxa"/>
            <w:tcBorders>
              <w:top w:val="nil"/>
              <w:left w:val="nil"/>
              <w:bottom w:val="single" w:color="auto" w:sz="4" w:space="0"/>
              <w:right w:val="single" w:color="auto" w:sz="4" w:space="0"/>
            </w:tcBorders>
            <w:shd w:val="clear" w:color="auto" w:fill="auto"/>
            <w:noWrap w:val="0"/>
            <w:vAlign w:val="center"/>
          </w:tcPr>
          <w:p w14:paraId="2D258C50">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8" w:type="dxa"/>
            <w:tcBorders>
              <w:top w:val="nil"/>
              <w:left w:val="nil"/>
              <w:bottom w:val="single" w:color="auto" w:sz="4" w:space="0"/>
              <w:right w:val="single" w:color="auto" w:sz="4" w:space="0"/>
            </w:tcBorders>
            <w:shd w:val="clear" w:color="auto" w:fill="auto"/>
            <w:noWrap w:val="0"/>
            <w:vAlign w:val="center"/>
          </w:tcPr>
          <w:p w14:paraId="4CCAE5AF">
            <w:pPr>
              <w:widowControl/>
              <w:spacing w:line="400" w:lineRule="exact"/>
              <w:jc w:val="center"/>
              <w:rPr>
                <w:rFonts w:hint="eastAsia" w:ascii="仿宋_GB2312" w:eastAsia="仿宋_GB2312"/>
                <w:kern w:val="0"/>
                <w:sz w:val="24"/>
              </w:rPr>
            </w:pPr>
            <w:r>
              <w:rPr>
                <w:rFonts w:hint="eastAsia" w:ascii="仿宋_GB2312" w:eastAsia="仿宋_GB2312"/>
                <w:kern w:val="0"/>
                <w:sz w:val="24"/>
              </w:rPr>
              <w:t>6.5</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48ABD64">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40763C67">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7A01FF39">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2807965C">
            <w:pPr>
              <w:widowControl/>
              <w:spacing w:line="400" w:lineRule="exact"/>
              <w:rPr>
                <w:rFonts w:hint="eastAsia" w:ascii="仿宋_GB2312" w:eastAsia="仿宋_GB2312"/>
                <w:kern w:val="0"/>
                <w:sz w:val="24"/>
              </w:rPr>
            </w:pPr>
            <w:r>
              <w:rPr>
                <w:rFonts w:hint="eastAsia" w:ascii="仿宋_GB2312" w:eastAsia="仿宋_GB2312"/>
                <w:kern w:val="0"/>
                <w:sz w:val="24"/>
              </w:rPr>
              <w:t>2、地方财政收入</w:t>
            </w:r>
          </w:p>
        </w:tc>
        <w:tc>
          <w:tcPr>
            <w:tcW w:w="820" w:type="dxa"/>
            <w:tcBorders>
              <w:top w:val="nil"/>
              <w:left w:val="nil"/>
              <w:bottom w:val="single" w:color="auto" w:sz="4" w:space="0"/>
              <w:right w:val="single" w:color="auto" w:sz="4" w:space="0"/>
            </w:tcBorders>
            <w:shd w:val="clear" w:color="auto" w:fill="auto"/>
            <w:noWrap w:val="0"/>
            <w:vAlign w:val="center"/>
          </w:tcPr>
          <w:p w14:paraId="64117A97">
            <w:pPr>
              <w:widowControl/>
              <w:spacing w:line="400" w:lineRule="exact"/>
              <w:jc w:val="center"/>
              <w:rPr>
                <w:rFonts w:hint="eastAsia" w:ascii="仿宋_GB2312" w:eastAsia="仿宋_GB2312"/>
                <w:kern w:val="0"/>
                <w:sz w:val="24"/>
              </w:rPr>
            </w:pPr>
            <w:r>
              <w:rPr>
                <w:rFonts w:hint="eastAsia" w:ascii="仿宋_GB2312" w:eastAsia="仿宋_GB2312"/>
                <w:kern w:val="0"/>
                <w:sz w:val="24"/>
              </w:rPr>
              <w:t>亿元</w:t>
            </w:r>
          </w:p>
        </w:tc>
        <w:tc>
          <w:tcPr>
            <w:tcW w:w="1106" w:type="dxa"/>
            <w:tcBorders>
              <w:top w:val="nil"/>
              <w:left w:val="nil"/>
              <w:bottom w:val="single" w:color="auto" w:sz="4" w:space="0"/>
              <w:right w:val="single" w:color="auto" w:sz="4" w:space="0"/>
            </w:tcBorders>
            <w:shd w:val="clear" w:color="auto" w:fill="auto"/>
            <w:noWrap w:val="0"/>
            <w:vAlign w:val="center"/>
          </w:tcPr>
          <w:p w14:paraId="7218040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8" w:type="dxa"/>
            <w:tcBorders>
              <w:top w:val="nil"/>
              <w:left w:val="nil"/>
              <w:bottom w:val="single" w:color="auto" w:sz="4" w:space="0"/>
              <w:right w:val="single" w:color="auto" w:sz="4" w:space="0"/>
            </w:tcBorders>
            <w:shd w:val="clear" w:color="auto" w:fill="auto"/>
            <w:noWrap w:val="0"/>
            <w:vAlign w:val="center"/>
          </w:tcPr>
          <w:p w14:paraId="1442A6DB">
            <w:pPr>
              <w:widowControl/>
              <w:spacing w:line="400" w:lineRule="exact"/>
              <w:jc w:val="center"/>
              <w:rPr>
                <w:rFonts w:hint="eastAsia" w:ascii="仿宋_GB2312" w:eastAsia="仿宋_GB2312"/>
                <w:kern w:val="0"/>
                <w:sz w:val="24"/>
              </w:rPr>
            </w:pPr>
            <w:r>
              <w:rPr>
                <w:rFonts w:hint="eastAsia" w:ascii="仿宋_GB2312" w:eastAsia="仿宋_GB2312"/>
                <w:kern w:val="0"/>
                <w:sz w:val="24"/>
              </w:rPr>
              <w:t>15</w:t>
            </w:r>
          </w:p>
        </w:tc>
        <w:tc>
          <w:tcPr>
            <w:tcW w:w="1106" w:type="dxa"/>
            <w:tcBorders>
              <w:top w:val="nil"/>
              <w:left w:val="nil"/>
              <w:bottom w:val="single" w:color="auto" w:sz="4" w:space="0"/>
              <w:right w:val="single" w:color="auto" w:sz="4" w:space="0"/>
            </w:tcBorders>
            <w:shd w:val="clear" w:color="auto" w:fill="auto"/>
            <w:noWrap w:val="0"/>
            <w:vAlign w:val="center"/>
          </w:tcPr>
          <w:p w14:paraId="3E042F0B">
            <w:pPr>
              <w:widowControl/>
              <w:spacing w:line="400" w:lineRule="exact"/>
              <w:jc w:val="center"/>
              <w:rPr>
                <w:rFonts w:hint="eastAsia" w:ascii="仿宋_GB2312" w:eastAsia="仿宋_GB2312"/>
                <w:kern w:val="0"/>
                <w:sz w:val="24"/>
              </w:rPr>
            </w:pPr>
            <w:r>
              <w:rPr>
                <w:rFonts w:hint="eastAsia" w:ascii="仿宋_GB2312" w:eastAsia="仿宋_GB2312"/>
                <w:kern w:val="0"/>
                <w:sz w:val="24"/>
              </w:rPr>
              <w:t>14.06</w:t>
            </w:r>
          </w:p>
        </w:tc>
        <w:tc>
          <w:tcPr>
            <w:tcW w:w="1108" w:type="dxa"/>
            <w:tcBorders>
              <w:top w:val="nil"/>
              <w:left w:val="nil"/>
              <w:bottom w:val="single" w:color="auto" w:sz="4" w:space="0"/>
              <w:right w:val="single" w:color="auto" w:sz="4" w:space="0"/>
            </w:tcBorders>
            <w:shd w:val="clear" w:color="auto" w:fill="auto"/>
            <w:noWrap w:val="0"/>
            <w:vAlign w:val="center"/>
          </w:tcPr>
          <w:p w14:paraId="1998D5CD">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0441BFB6">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69C81F3F">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4413958D">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06D62F4B">
            <w:pPr>
              <w:widowControl/>
              <w:spacing w:line="400" w:lineRule="exact"/>
              <w:rPr>
                <w:rFonts w:hint="eastAsia" w:ascii="仿宋_GB2312" w:eastAsia="仿宋_GB2312"/>
                <w:kern w:val="0"/>
                <w:sz w:val="24"/>
              </w:rPr>
            </w:pPr>
            <w:r>
              <w:rPr>
                <w:rFonts w:hint="eastAsia" w:ascii="仿宋_GB2312" w:eastAsia="仿宋_GB2312"/>
                <w:kern w:val="0"/>
                <w:sz w:val="24"/>
              </w:rPr>
              <w:t>3、</w:t>
            </w:r>
            <w:r>
              <w:rPr>
                <w:rFonts w:hint="eastAsia" w:ascii="仿宋_GB2312" w:eastAsia="仿宋_GB2312"/>
                <w:spacing w:val="-6"/>
                <w:kern w:val="0"/>
                <w:sz w:val="24"/>
              </w:rPr>
              <w:t>全社会固定资产投资五年总规模</w:t>
            </w:r>
          </w:p>
        </w:tc>
        <w:tc>
          <w:tcPr>
            <w:tcW w:w="820" w:type="dxa"/>
            <w:tcBorders>
              <w:top w:val="nil"/>
              <w:left w:val="nil"/>
              <w:bottom w:val="single" w:color="auto" w:sz="4" w:space="0"/>
              <w:right w:val="single" w:color="auto" w:sz="4" w:space="0"/>
            </w:tcBorders>
            <w:shd w:val="clear" w:color="auto" w:fill="auto"/>
            <w:noWrap w:val="0"/>
            <w:vAlign w:val="center"/>
          </w:tcPr>
          <w:p w14:paraId="5009003E">
            <w:pPr>
              <w:widowControl/>
              <w:spacing w:line="400" w:lineRule="exact"/>
              <w:jc w:val="center"/>
              <w:rPr>
                <w:rFonts w:hint="eastAsia" w:ascii="仿宋_GB2312" w:eastAsia="仿宋_GB2312"/>
                <w:kern w:val="0"/>
                <w:sz w:val="24"/>
              </w:rPr>
            </w:pPr>
            <w:r>
              <w:rPr>
                <w:rFonts w:hint="eastAsia" w:ascii="仿宋_GB2312" w:eastAsia="仿宋_GB2312"/>
                <w:kern w:val="0"/>
                <w:sz w:val="24"/>
              </w:rPr>
              <w:t>亿元</w:t>
            </w:r>
          </w:p>
        </w:tc>
        <w:tc>
          <w:tcPr>
            <w:tcW w:w="1106" w:type="dxa"/>
            <w:tcBorders>
              <w:top w:val="nil"/>
              <w:left w:val="nil"/>
              <w:bottom w:val="single" w:color="auto" w:sz="4" w:space="0"/>
              <w:right w:val="single" w:color="auto" w:sz="4" w:space="0"/>
            </w:tcBorders>
            <w:shd w:val="clear" w:color="auto" w:fill="auto"/>
            <w:noWrap w:val="0"/>
            <w:vAlign w:val="center"/>
          </w:tcPr>
          <w:p w14:paraId="097E9A1F">
            <w:pPr>
              <w:widowControl/>
              <w:spacing w:line="400" w:lineRule="exact"/>
              <w:jc w:val="center"/>
              <w:rPr>
                <w:rFonts w:hint="eastAsia" w:ascii="仿宋_GB2312" w:eastAsia="仿宋_GB2312"/>
                <w:kern w:val="0"/>
                <w:sz w:val="24"/>
              </w:rPr>
            </w:pPr>
            <w:r>
              <w:rPr>
                <w:rFonts w:hint="eastAsia" w:ascii="仿宋_GB2312" w:eastAsia="仿宋_GB2312"/>
                <w:kern w:val="0"/>
                <w:sz w:val="24"/>
              </w:rPr>
              <w:t>≥400</w:t>
            </w:r>
          </w:p>
        </w:tc>
        <w:tc>
          <w:tcPr>
            <w:tcW w:w="1108" w:type="dxa"/>
            <w:tcBorders>
              <w:top w:val="nil"/>
              <w:left w:val="nil"/>
              <w:bottom w:val="single" w:color="auto" w:sz="4" w:space="0"/>
              <w:right w:val="single" w:color="auto" w:sz="4" w:space="0"/>
            </w:tcBorders>
            <w:shd w:val="clear" w:color="auto" w:fill="auto"/>
            <w:noWrap w:val="0"/>
            <w:vAlign w:val="center"/>
          </w:tcPr>
          <w:p w14:paraId="0CE37A32">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336D86A3">
            <w:pPr>
              <w:widowControl/>
              <w:spacing w:line="400" w:lineRule="exact"/>
              <w:jc w:val="center"/>
              <w:rPr>
                <w:rFonts w:hint="eastAsia" w:ascii="仿宋_GB2312" w:eastAsia="仿宋_GB2312"/>
                <w:kern w:val="0"/>
                <w:sz w:val="24"/>
              </w:rPr>
            </w:pPr>
            <w:r>
              <w:rPr>
                <w:rFonts w:hint="eastAsia" w:ascii="仿宋_GB2312" w:eastAsia="仿宋_GB2312"/>
                <w:kern w:val="0"/>
                <w:sz w:val="24"/>
              </w:rPr>
              <w:t>271</w:t>
            </w:r>
          </w:p>
        </w:tc>
        <w:tc>
          <w:tcPr>
            <w:tcW w:w="1108" w:type="dxa"/>
            <w:tcBorders>
              <w:top w:val="nil"/>
              <w:left w:val="nil"/>
              <w:bottom w:val="single" w:color="auto" w:sz="4" w:space="0"/>
              <w:right w:val="single" w:color="auto" w:sz="4" w:space="0"/>
            </w:tcBorders>
            <w:shd w:val="clear" w:color="auto" w:fill="auto"/>
            <w:noWrap w:val="0"/>
            <w:vAlign w:val="center"/>
          </w:tcPr>
          <w:p w14:paraId="0E3560D2">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29C06EEC">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450458DF">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478A08F7">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7E908C64">
            <w:pPr>
              <w:widowControl/>
              <w:spacing w:line="400" w:lineRule="exact"/>
              <w:rPr>
                <w:rFonts w:hint="eastAsia" w:ascii="仿宋_GB2312" w:eastAsia="仿宋_GB2312"/>
                <w:kern w:val="0"/>
                <w:sz w:val="24"/>
              </w:rPr>
            </w:pPr>
            <w:r>
              <w:rPr>
                <w:rFonts w:hint="eastAsia" w:ascii="仿宋_GB2312" w:eastAsia="仿宋_GB2312"/>
                <w:kern w:val="0"/>
                <w:sz w:val="24"/>
              </w:rPr>
              <w:t>4、社会消费品零售总额</w:t>
            </w:r>
          </w:p>
        </w:tc>
        <w:tc>
          <w:tcPr>
            <w:tcW w:w="820" w:type="dxa"/>
            <w:tcBorders>
              <w:top w:val="nil"/>
              <w:left w:val="nil"/>
              <w:bottom w:val="single" w:color="auto" w:sz="4" w:space="0"/>
              <w:right w:val="single" w:color="auto" w:sz="4" w:space="0"/>
            </w:tcBorders>
            <w:shd w:val="clear" w:color="auto" w:fill="auto"/>
            <w:noWrap w:val="0"/>
            <w:vAlign w:val="center"/>
          </w:tcPr>
          <w:p w14:paraId="295D3641">
            <w:pPr>
              <w:widowControl/>
              <w:spacing w:line="400" w:lineRule="exact"/>
              <w:jc w:val="center"/>
              <w:rPr>
                <w:rFonts w:hint="eastAsia" w:ascii="仿宋_GB2312" w:eastAsia="仿宋_GB2312"/>
                <w:kern w:val="0"/>
                <w:sz w:val="24"/>
              </w:rPr>
            </w:pPr>
            <w:r>
              <w:rPr>
                <w:rFonts w:hint="eastAsia" w:ascii="仿宋_GB2312" w:eastAsia="仿宋_GB2312"/>
                <w:kern w:val="0"/>
                <w:sz w:val="24"/>
              </w:rPr>
              <w:t>亿元</w:t>
            </w:r>
          </w:p>
        </w:tc>
        <w:tc>
          <w:tcPr>
            <w:tcW w:w="1106" w:type="dxa"/>
            <w:tcBorders>
              <w:top w:val="nil"/>
              <w:left w:val="nil"/>
              <w:bottom w:val="single" w:color="auto" w:sz="4" w:space="0"/>
              <w:right w:val="single" w:color="auto" w:sz="4" w:space="0"/>
            </w:tcBorders>
            <w:shd w:val="clear" w:color="auto" w:fill="auto"/>
            <w:noWrap w:val="0"/>
            <w:vAlign w:val="center"/>
          </w:tcPr>
          <w:p w14:paraId="687DEE89">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8" w:type="dxa"/>
            <w:tcBorders>
              <w:top w:val="nil"/>
              <w:left w:val="nil"/>
              <w:bottom w:val="single" w:color="auto" w:sz="4" w:space="0"/>
              <w:right w:val="single" w:color="auto" w:sz="4" w:space="0"/>
            </w:tcBorders>
            <w:shd w:val="clear" w:color="auto" w:fill="auto"/>
            <w:noWrap w:val="0"/>
            <w:vAlign w:val="center"/>
          </w:tcPr>
          <w:p w14:paraId="41BA3568">
            <w:pPr>
              <w:widowControl/>
              <w:spacing w:line="400" w:lineRule="exact"/>
              <w:jc w:val="center"/>
              <w:rPr>
                <w:rFonts w:hint="eastAsia" w:ascii="仿宋_GB2312" w:eastAsia="仿宋_GB2312"/>
                <w:kern w:val="0"/>
                <w:sz w:val="24"/>
              </w:rPr>
            </w:pPr>
            <w:r>
              <w:rPr>
                <w:rFonts w:hint="eastAsia" w:ascii="仿宋_GB2312" w:eastAsia="仿宋_GB2312"/>
                <w:kern w:val="0"/>
                <w:sz w:val="24"/>
              </w:rPr>
              <w:t>16</w:t>
            </w:r>
          </w:p>
        </w:tc>
        <w:tc>
          <w:tcPr>
            <w:tcW w:w="1106" w:type="dxa"/>
            <w:tcBorders>
              <w:top w:val="nil"/>
              <w:left w:val="nil"/>
              <w:bottom w:val="single" w:color="auto" w:sz="4" w:space="0"/>
              <w:right w:val="single" w:color="auto" w:sz="4" w:space="0"/>
            </w:tcBorders>
            <w:shd w:val="clear" w:color="auto" w:fill="auto"/>
            <w:noWrap w:val="0"/>
            <w:vAlign w:val="center"/>
          </w:tcPr>
          <w:p w14:paraId="50AC2FF5">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8" w:type="dxa"/>
            <w:tcBorders>
              <w:top w:val="nil"/>
              <w:left w:val="nil"/>
              <w:bottom w:val="single" w:color="auto" w:sz="4" w:space="0"/>
              <w:right w:val="single" w:color="auto" w:sz="4" w:space="0"/>
            </w:tcBorders>
            <w:shd w:val="clear" w:color="auto" w:fill="auto"/>
            <w:noWrap w:val="0"/>
            <w:vAlign w:val="center"/>
          </w:tcPr>
          <w:p w14:paraId="32F0779B">
            <w:pPr>
              <w:widowControl/>
              <w:spacing w:line="400" w:lineRule="exact"/>
              <w:jc w:val="center"/>
              <w:rPr>
                <w:rFonts w:hint="eastAsia" w:ascii="仿宋_GB2312" w:eastAsia="仿宋_GB2312"/>
                <w:kern w:val="0"/>
                <w:sz w:val="24"/>
              </w:rPr>
            </w:pPr>
            <w:r>
              <w:rPr>
                <w:rFonts w:hint="eastAsia" w:ascii="仿宋_GB2312" w:eastAsia="仿宋_GB2312"/>
                <w:kern w:val="0"/>
                <w:sz w:val="24"/>
              </w:rPr>
              <w:t>12.9</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144E6031">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35277D51">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4564E622">
            <w:pPr>
              <w:widowControl/>
              <w:spacing w:line="400" w:lineRule="exact"/>
              <w:jc w:val="left"/>
              <w:rPr>
                <w:rFonts w:hint="eastAsia" w:ascii="仿宋_GB2312" w:eastAsia="仿宋_GB2312"/>
                <w:kern w:val="0"/>
                <w:sz w:val="24"/>
              </w:rPr>
            </w:pPr>
          </w:p>
        </w:tc>
        <w:tc>
          <w:tcPr>
            <w:tcW w:w="3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903C28">
            <w:pPr>
              <w:widowControl/>
              <w:spacing w:line="400" w:lineRule="exact"/>
              <w:rPr>
                <w:rFonts w:hint="eastAsia" w:ascii="仿宋_GB2312" w:eastAsia="仿宋_GB2312"/>
                <w:kern w:val="0"/>
                <w:sz w:val="24"/>
              </w:rPr>
            </w:pPr>
            <w:r>
              <w:rPr>
                <w:rFonts w:hint="eastAsia" w:ascii="仿宋_GB2312" w:eastAsia="仿宋_GB2312"/>
                <w:kern w:val="0"/>
                <w:sz w:val="24"/>
              </w:rPr>
              <w:t>5、实际利用外资五年累计</w:t>
            </w:r>
          </w:p>
        </w:tc>
        <w:tc>
          <w:tcPr>
            <w:tcW w:w="820" w:type="dxa"/>
            <w:tcBorders>
              <w:top w:val="nil"/>
              <w:left w:val="single" w:color="auto" w:sz="4" w:space="0"/>
              <w:bottom w:val="single" w:color="auto" w:sz="4" w:space="0"/>
              <w:right w:val="single" w:color="auto" w:sz="4" w:space="0"/>
            </w:tcBorders>
            <w:shd w:val="clear" w:color="auto" w:fill="auto"/>
            <w:noWrap w:val="0"/>
            <w:vAlign w:val="center"/>
          </w:tcPr>
          <w:p w14:paraId="202B58B1">
            <w:pPr>
              <w:widowControl/>
              <w:spacing w:line="400" w:lineRule="exact"/>
              <w:jc w:val="center"/>
              <w:rPr>
                <w:rFonts w:hint="eastAsia" w:ascii="仿宋_GB2312" w:eastAsia="仿宋_GB2312"/>
                <w:kern w:val="0"/>
                <w:sz w:val="24"/>
              </w:rPr>
            </w:pPr>
            <w:r>
              <w:rPr>
                <w:rFonts w:hint="eastAsia" w:ascii="仿宋_GB2312" w:eastAsia="仿宋_GB2312"/>
                <w:kern w:val="0"/>
                <w:sz w:val="24"/>
              </w:rPr>
              <w:t>亿美元</w:t>
            </w:r>
          </w:p>
        </w:tc>
        <w:tc>
          <w:tcPr>
            <w:tcW w:w="1106" w:type="dxa"/>
            <w:tcBorders>
              <w:top w:val="nil"/>
              <w:left w:val="single" w:color="auto" w:sz="4" w:space="0"/>
              <w:bottom w:val="single" w:color="auto" w:sz="4" w:space="0"/>
              <w:right w:val="single" w:color="auto" w:sz="4" w:space="0"/>
            </w:tcBorders>
            <w:shd w:val="clear" w:color="auto" w:fill="auto"/>
            <w:noWrap w:val="0"/>
            <w:vAlign w:val="center"/>
          </w:tcPr>
          <w:p w14:paraId="614BE114">
            <w:pPr>
              <w:widowControl/>
              <w:spacing w:line="400" w:lineRule="exact"/>
              <w:jc w:val="center"/>
              <w:rPr>
                <w:rFonts w:hint="eastAsia" w:ascii="仿宋_GB2312" w:eastAsia="仿宋_GB2312"/>
                <w:kern w:val="0"/>
                <w:sz w:val="24"/>
              </w:rPr>
            </w:pPr>
            <w:r>
              <w:rPr>
                <w:rFonts w:hint="eastAsia" w:ascii="仿宋_GB2312" w:eastAsia="仿宋_GB2312"/>
                <w:kern w:val="0"/>
                <w:sz w:val="24"/>
              </w:rPr>
              <w:t>16</w:t>
            </w:r>
          </w:p>
        </w:tc>
        <w:tc>
          <w:tcPr>
            <w:tcW w:w="1108" w:type="dxa"/>
            <w:tcBorders>
              <w:top w:val="nil"/>
              <w:left w:val="single" w:color="auto" w:sz="4" w:space="0"/>
              <w:bottom w:val="single" w:color="auto" w:sz="4" w:space="0"/>
              <w:right w:val="single" w:color="auto" w:sz="4" w:space="0"/>
            </w:tcBorders>
            <w:shd w:val="clear" w:color="auto" w:fill="auto"/>
            <w:noWrap w:val="0"/>
            <w:vAlign w:val="center"/>
          </w:tcPr>
          <w:p w14:paraId="4BF856D0">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705ECFF">
            <w:pPr>
              <w:spacing w:line="400" w:lineRule="exact"/>
              <w:jc w:val="center"/>
              <w:rPr>
                <w:rFonts w:hint="eastAsia" w:ascii="仿宋_GB2312" w:eastAsia="仿宋_GB2312"/>
                <w:kern w:val="0"/>
                <w:sz w:val="24"/>
              </w:rPr>
            </w:pPr>
            <w:r>
              <w:rPr>
                <w:rFonts w:hint="eastAsia" w:ascii="仿宋_GB2312" w:eastAsia="仿宋_GB2312"/>
                <w:kern w:val="0"/>
                <w:sz w:val="24"/>
              </w:rPr>
              <w:t>13.93</w:t>
            </w:r>
          </w:p>
        </w:tc>
        <w:tc>
          <w:tcPr>
            <w:tcW w:w="1108" w:type="dxa"/>
            <w:tcBorders>
              <w:top w:val="nil"/>
              <w:left w:val="single" w:color="auto" w:sz="4" w:space="0"/>
              <w:bottom w:val="single" w:color="auto" w:sz="4" w:space="0"/>
              <w:right w:val="single" w:color="auto" w:sz="4" w:space="0"/>
            </w:tcBorders>
            <w:shd w:val="clear" w:color="auto" w:fill="auto"/>
            <w:noWrap w:val="0"/>
            <w:vAlign w:val="center"/>
          </w:tcPr>
          <w:p w14:paraId="3E8C88E9">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E707FC">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0BCB0F2F">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4795EAC2">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56DB63A9">
            <w:pPr>
              <w:widowControl/>
              <w:spacing w:line="400" w:lineRule="exact"/>
              <w:rPr>
                <w:rFonts w:hint="eastAsia" w:ascii="仿宋_GB2312" w:eastAsia="仿宋_GB2312"/>
                <w:kern w:val="0"/>
                <w:sz w:val="24"/>
              </w:rPr>
            </w:pPr>
            <w:r>
              <w:rPr>
                <w:rFonts w:hint="eastAsia" w:ascii="仿宋_GB2312" w:eastAsia="仿宋_GB2312"/>
                <w:kern w:val="0"/>
                <w:sz w:val="24"/>
              </w:rPr>
              <w:t>6、服务业增加值占GDP比重</w:t>
            </w:r>
          </w:p>
        </w:tc>
        <w:tc>
          <w:tcPr>
            <w:tcW w:w="820" w:type="dxa"/>
            <w:tcBorders>
              <w:top w:val="nil"/>
              <w:left w:val="nil"/>
              <w:bottom w:val="single" w:color="auto" w:sz="4" w:space="0"/>
              <w:right w:val="single" w:color="auto" w:sz="4" w:space="0"/>
            </w:tcBorders>
            <w:shd w:val="clear" w:color="auto" w:fill="auto"/>
            <w:noWrap w:val="0"/>
            <w:vAlign w:val="center"/>
          </w:tcPr>
          <w:p w14:paraId="243FFD1C">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7E7DABD1">
            <w:pPr>
              <w:widowControl/>
              <w:spacing w:line="400" w:lineRule="exact"/>
              <w:jc w:val="center"/>
              <w:rPr>
                <w:rFonts w:hint="eastAsia" w:ascii="仿宋_GB2312" w:eastAsia="仿宋_GB2312"/>
                <w:kern w:val="0"/>
                <w:sz w:val="24"/>
              </w:rPr>
            </w:pPr>
            <w:r>
              <w:rPr>
                <w:rFonts w:hint="eastAsia" w:ascii="仿宋_GB2312" w:eastAsia="仿宋_GB2312"/>
                <w:kern w:val="0"/>
                <w:sz w:val="24"/>
              </w:rPr>
              <w:t>≥70</w:t>
            </w:r>
          </w:p>
        </w:tc>
        <w:tc>
          <w:tcPr>
            <w:tcW w:w="1108" w:type="dxa"/>
            <w:tcBorders>
              <w:top w:val="nil"/>
              <w:left w:val="nil"/>
              <w:bottom w:val="single" w:color="auto" w:sz="4" w:space="0"/>
              <w:right w:val="single" w:color="auto" w:sz="4" w:space="0"/>
            </w:tcBorders>
            <w:shd w:val="clear" w:color="auto" w:fill="auto"/>
            <w:noWrap w:val="0"/>
            <w:vAlign w:val="center"/>
          </w:tcPr>
          <w:p w14:paraId="0A91BA4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single" w:color="auto" w:sz="4" w:space="0"/>
              <w:left w:val="nil"/>
              <w:bottom w:val="single" w:color="auto" w:sz="4" w:space="0"/>
              <w:right w:val="single" w:color="auto" w:sz="4" w:space="0"/>
            </w:tcBorders>
            <w:shd w:val="clear" w:color="auto" w:fill="auto"/>
            <w:noWrap w:val="0"/>
            <w:vAlign w:val="center"/>
          </w:tcPr>
          <w:p w14:paraId="4ACAE8DA">
            <w:pPr>
              <w:widowControl/>
              <w:spacing w:line="400" w:lineRule="exact"/>
              <w:jc w:val="center"/>
              <w:rPr>
                <w:rFonts w:hint="eastAsia" w:ascii="仿宋_GB2312" w:eastAsia="仿宋_GB2312"/>
                <w:kern w:val="0"/>
                <w:sz w:val="24"/>
              </w:rPr>
            </w:pPr>
            <w:r>
              <w:rPr>
                <w:rFonts w:hint="eastAsia" w:ascii="仿宋_GB2312" w:eastAsia="仿宋_GB2312"/>
                <w:kern w:val="0"/>
                <w:sz w:val="24"/>
              </w:rPr>
              <w:t>73</w:t>
            </w:r>
          </w:p>
        </w:tc>
        <w:tc>
          <w:tcPr>
            <w:tcW w:w="1108" w:type="dxa"/>
            <w:tcBorders>
              <w:top w:val="nil"/>
              <w:left w:val="nil"/>
              <w:bottom w:val="single" w:color="auto" w:sz="4" w:space="0"/>
              <w:right w:val="single" w:color="auto" w:sz="4" w:space="0"/>
            </w:tcBorders>
            <w:shd w:val="clear" w:color="auto" w:fill="auto"/>
            <w:noWrap w:val="0"/>
            <w:vAlign w:val="center"/>
          </w:tcPr>
          <w:p w14:paraId="0E34E5E0">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56D6EF1">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1AFAF8C6">
        <w:tblPrEx>
          <w:tblCellMar>
            <w:top w:w="0" w:type="dxa"/>
            <w:left w:w="108" w:type="dxa"/>
            <w:bottom w:w="0" w:type="dxa"/>
            <w:right w:w="108" w:type="dxa"/>
          </w:tblCellMar>
        </w:tblPrEx>
        <w:trPr>
          <w:wBefore w:w="0" w:type="dxa"/>
          <w:wAfter w:w="0" w:type="dxa"/>
          <w:trHeight w:val="1029" w:hRule="atLeast"/>
          <w:jc w:val="center"/>
        </w:trPr>
        <w:tc>
          <w:tcPr>
            <w:tcW w:w="496" w:type="dxa"/>
            <w:vMerge w:val="continue"/>
            <w:tcBorders>
              <w:left w:val="single" w:color="auto" w:sz="4" w:space="0"/>
              <w:right w:val="single" w:color="auto" w:sz="4" w:space="0"/>
            </w:tcBorders>
            <w:shd w:val="clear" w:color="auto" w:fill="auto"/>
            <w:noWrap w:val="0"/>
            <w:vAlign w:val="top"/>
          </w:tcPr>
          <w:p w14:paraId="3B337090">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2D2BECF0">
            <w:pPr>
              <w:widowControl/>
              <w:spacing w:line="400" w:lineRule="exact"/>
              <w:rPr>
                <w:rFonts w:hint="eastAsia" w:ascii="仿宋_GB2312" w:eastAsia="仿宋_GB2312"/>
                <w:kern w:val="0"/>
                <w:sz w:val="24"/>
              </w:rPr>
            </w:pPr>
            <w:r>
              <w:rPr>
                <w:rFonts w:hint="eastAsia" w:ascii="仿宋_GB2312" w:eastAsia="仿宋_GB2312"/>
                <w:kern w:val="0"/>
                <w:sz w:val="24"/>
              </w:rPr>
              <w:t>7、R＆D经费支出占GDP比重</w:t>
            </w:r>
          </w:p>
        </w:tc>
        <w:tc>
          <w:tcPr>
            <w:tcW w:w="820" w:type="dxa"/>
            <w:tcBorders>
              <w:top w:val="nil"/>
              <w:left w:val="nil"/>
              <w:bottom w:val="single" w:color="auto" w:sz="4" w:space="0"/>
              <w:right w:val="single" w:color="auto" w:sz="4" w:space="0"/>
            </w:tcBorders>
            <w:shd w:val="clear" w:color="auto" w:fill="auto"/>
            <w:noWrap w:val="0"/>
            <w:vAlign w:val="center"/>
          </w:tcPr>
          <w:p w14:paraId="0DC4C1FE">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31B27F52">
            <w:pPr>
              <w:widowControl/>
              <w:spacing w:line="400" w:lineRule="exact"/>
              <w:jc w:val="center"/>
              <w:rPr>
                <w:rFonts w:hint="eastAsia" w:ascii="仿宋_GB2312" w:eastAsia="仿宋_GB2312"/>
                <w:kern w:val="0"/>
                <w:sz w:val="24"/>
              </w:rPr>
            </w:pPr>
            <w:r>
              <w:rPr>
                <w:rFonts w:hint="eastAsia" w:ascii="仿宋_GB2312"/>
                <w:kern w:val="0"/>
                <w:sz w:val="24"/>
              </w:rPr>
              <w:t>﹥</w:t>
            </w:r>
            <w:r>
              <w:rPr>
                <w:rFonts w:hint="eastAsia" w:ascii="仿宋_GB2312" w:eastAsia="仿宋_GB2312"/>
                <w:kern w:val="0"/>
                <w:sz w:val="24"/>
              </w:rPr>
              <w:t>3</w:t>
            </w:r>
          </w:p>
        </w:tc>
        <w:tc>
          <w:tcPr>
            <w:tcW w:w="1108" w:type="dxa"/>
            <w:tcBorders>
              <w:top w:val="nil"/>
              <w:left w:val="nil"/>
              <w:bottom w:val="single" w:color="auto" w:sz="4" w:space="0"/>
              <w:right w:val="single" w:color="auto" w:sz="4" w:space="0"/>
            </w:tcBorders>
            <w:shd w:val="clear" w:color="auto" w:fill="auto"/>
            <w:noWrap w:val="0"/>
            <w:vAlign w:val="center"/>
          </w:tcPr>
          <w:p w14:paraId="7687A441">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1ABDE9C2">
            <w:pPr>
              <w:widowControl/>
              <w:spacing w:line="400" w:lineRule="exact"/>
              <w:jc w:val="center"/>
              <w:rPr>
                <w:rFonts w:hint="eastAsia" w:ascii="仿宋_GB2312" w:eastAsia="仿宋_GB2312"/>
                <w:kern w:val="0"/>
                <w:sz w:val="24"/>
              </w:rPr>
            </w:pPr>
            <w:r>
              <w:rPr>
                <w:rFonts w:hint="eastAsia" w:ascii="仿宋_GB2312" w:eastAsia="仿宋_GB2312"/>
                <w:kern w:val="0"/>
                <w:sz w:val="24"/>
              </w:rPr>
              <w:t>3.1</w:t>
            </w:r>
          </w:p>
        </w:tc>
        <w:tc>
          <w:tcPr>
            <w:tcW w:w="1108" w:type="dxa"/>
            <w:tcBorders>
              <w:top w:val="nil"/>
              <w:left w:val="nil"/>
              <w:bottom w:val="single" w:color="auto" w:sz="4" w:space="0"/>
              <w:right w:val="single" w:color="auto" w:sz="4" w:space="0"/>
            </w:tcBorders>
            <w:shd w:val="clear" w:color="auto" w:fill="auto"/>
            <w:noWrap w:val="0"/>
            <w:vAlign w:val="center"/>
          </w:tcPr>
          <w:p w14:paraId="2B1CAAE2">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6BEDAD04">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2E394A74">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bottom w:val="single" w:color="auto" w:sz="4" w:space="0"/>
              <w:right w:val="single" w:color="auto" w:sz="4" w:space="0"/>
            </w:tcBorders>
            <w:shd w:val="clear" w:color="auto" w:fill="auto"/>
            <w:noWrap w:val="0"/>
            <w:vAlign w:val="top"/>
          </w:tcPr>
          <w:p w14:paraId="57890DD5">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60349788">
            <w:pPr>
              <w:widowControl/>
              <w:spacing w:line="400" w:lineRule="exact"/>
              <w:rPr>
                <w:rFonts w:hint="eastAsia" w:ascii="仿宋_GB2312" w:eastAsia="仿宋_GB2312"/>
                <w:kern w:val="0"/>
                <w:sz w:val="24"/>
              </w:rPr>
            </w:pPr>
            <w:r>
              <w:rPr>
                <w:rFonts w:hint="eastAsia" w:ascii="仿宋_GB2312" w:eastAsia="仿宋_GB2312"/>
                <w:kern w:val="0"/>
                <w:sz w:val="24"/>
              </w:rPr>
              <w:t>8、专利申请量</w:t>
            </w:r>
          </w:p>
        </w:tc>
        <w:tc>
          <w:tcPr>
            <w:tcW w:w="820" w:type="dxa"/>
            <w:tcBorders>
              <w:top w:val="nil"/>
              <w:left w:val="nil"/>
              <w:bottom w:val="single" w:color="auto" w:sz="4" w:space="0"/>
              <w:right w:val="single" w:color="auto" w:sz="4" w:space="0"/>
            </w:tcBorders>
            <w:shd w:val="clear" w:color="auto" w:fill="auto"/>
            <w:noWrap w:val="0"/>
            <w:vAlign w:val="center"/>
          </w:tcPr>
          <w:p w14:paraId="040A3A6E">
            <w:pPr>
              <w:widowControl/>
              <w:spacing w:line="400" w:lineRule="exact"/>
              <w:jc w:val="center"/>
              <w:rPr>
                <w:rFonts w:hint="eastAsia" w:ascii="仿宋_GB2312" w:eastAsia="仿宋_GB2312"/>
                <w:kern w:val="0"/>
                <w:sz w:val="24"/>
              </w:rPr>
            </w:pPr>
            <w:r>
              <w:rPr>
                <w:rFonts w:hint="eastAsia" w:ascii="仿宋_GB2312" w:eastAsia="仿宋_GB2312"/>
                <w:kern w:val="0"/>
                <w:sz w:val="24"/>
              </w:rPr>
              <w:t>项</w:t>
            </w:r>
          </w:p>
        </w:tc>
        <w:tc>
          <w:tcPr>
            <w:tcW w:w="1106" w:type="dxa"/>
            <w:tcBorders>
              <w:top w:val="nil"/>
              <w:left w:val="nil"/>
              <w:bottom w:val="single" w:color="auto" w:sz="4" w:space="0"/>
              <w:right w:val="single" w:color="auto" w:sz="4" w:space="0"/>
            </w:tcBorders>
            <w:shd w:val="clear" w:color="auto" w:fill="auto"/>
            <w:noWrap w:val="0"/>
            <w:vAlign w:val="center"/>
          </w:tcPr>
          <w:p w14:paraId="4EE7E479">
            <w:pPr>
              <w:widowControl/>
              <w:spacing w:line="400" w:lineRule="exact"/>
              <w:jc w:val="center"/>
              <w:rPr>
                <w:rFonts w:hint="eastAsia" w:ascii="仿宋_GB2312" w:eastAsia="仿宋_GB2312"/>
                <w:kern w:val="0"/>
                <w:sz w:val="24"/>
              </w:rPr>
            </w:pPr>
            <w:r>
              <w:rPr>
                <w:rFonts w:hint="eastAsia" w:ascii="仿宋_GB2312" w:eastAsia="仿宋_GB2312"/>
                <w:kern w:val="0"/>
                <w:sz w:val="24"/>
              </w:rPr>
              <w:t>2400</w:t>
            </w:r>
          </w:p>
        </w:tc>
        <w:tc>
          <w:tcPr>
            <w:tcW w:w="1108" w:type="dxa"/>
            <w:tcBorders>
              <w:top w:val="nil"/>
              <w:left w:val="nil"/>
              <w:bottom w:val="single" w:color="auto" w:sz="4" w:space="0"/>
              <w:right w:val="single" w:color="auto" w:sz="4" w:space="0"/>
            </w:tcBorders>
            <w:shd w:val="clear" w:color="auto" w:fill="auto"/>
            <w:noWrap w:val="0"/>
            <w:vAlign w:val="center"/>
          </w:tcPr>
          <w:p w14:paraId="15564B80">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E6AF567">
            <w:pPr>
              <w:widowControl/>
              <w:spacing w:line="400" w:lineRule="exact"/>
              <w:jc w:val="center"/>
              <w:rPr>
                <w:rFonts w:hint="eastAsia" w:ascii="仿宋_GB2312" w:eastAsia="仿宋_GB2312"/>
                <w:kern w:val="0"/>
                <w:sz w:val="24"/>
              </w:rPr>
            </w:pPr>
            <w:r>
              <w:rPr>
                <w:rFonts w:hint="eastAsia" w:ascii="仿宋_GB2312" w:eastAsia="仿宋_GB2312"/>
                <w:kern w:val="0"/>
                <w:sz w:val="24"/>
              </w:rPr>
              <w:t>完成</w:t>
            </w:r>
          </w:p>
        </w:tc>
        <w:tc>
          <w:tcPr>
            <w:tcW w:w="1108" w:type="dxa"/>
            <w:tcBorders>
              <w:top w:val="nil"/>
              <w:left w:val="nil"/>
              <w:bottom w:val="single" w:color="auto" w:sz="4" w:space="0"/>
              <w:right w:val="single" w:color="auto" w:sz="4" w:space="0"/>
            </w:tcBorders>
            <w:shd w:val="clear" w:color="auto" w:fill="auto"/>
            <w:noWrap w:val="0"/>
            <w:vAlign w:val="center"/>
          </w:tcPr>
          <w:p w14:paraId="334730FE">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468F87A4">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4F410C1D">
        <w:tblPrEx>
          <w:tblCellMar>
            <w:top w:w="0" w:type="dxa"/>
            <w:left w:w="108" w:type="dxa"/>
            <w:bottom w:w="0" w:type="dxa"/>
            <w:right w:w="108" w:type="dxa"/>
          </w:tblCellMar>
        </w:tblPrEx>
        <w:trPr>
          <w:wBefore w:w="0" w:type="dxa"/>
          <w:wAfter w:w="0" w:type="dxa"/>
          <w:trHeight w:val="368" w:hRule="atLeast"/>
          <w:jc w:val="center"/>
        </w:trPr>
        <w:tc>
          <w:tcPr>
            <w:tcW w:w="496" w:type="dxa"/>
            <w:vMerge w:val="restart"/>
            <w:tcBorders>
              <w:top w:val="nil"/>
              <w:left w:val="single" w:color="auto" w:sz="4" w:space="0"/>
              <w:right w:val="single" w:color="auto" w:sz="4" w:space="0"/>
            </w:tcBorders>
            <w:shd w:val="clear" w:color="auto" w:fill="auto"/>
            <w:noWrap w:val="0"/>
            <w:vAlign w:val="center"/>
          </w:tcPr>
          <w:p w14:paraId="1823F837">
            <w:pPr>
              <w:widowControl/>
              <w:spacing w:line="400" w:lineRule="exact"/>
              <w:jc w:val="center"/>
              <w:rPr>
                <w:rFonts w:hint="eastAsia" w:ascii="仿宋_GB2312" w:eastAsia="仿宋_GB2312"/>
                <w:kern w:val="0"/>
                <w:sz w:val="24"/>
              </w:rPr>
            </w:pPr>
            <w:r>
              <w:rPr>
                <w:rFonts w:hint="eastAsia" w:ascii="仿宋_GB2312" w:eastAsia="仿宋_GB2312"/>
                <w:kern w:val="0"/>
                <w:sz w:val="24"/>
              </w:rPr>
              <w:t>社会民生</w:t>
            </w:r>
          </w:p>
        </w:tc>
        <w:tc>
          <w:tcPr>
            <w:tcW w:w="3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73F57E">
            <w:pPr>
              <w:widowControl/>
              <w:spacing w:line="400" w:lineRule="exact"/>
              <w:rPr>
                <w:rFonts w:hint="eastAsia" w:ascii="仿宋_GB2312" w:eastAsia="仿宋_GB2312"/>
                <w:kern w:val="0"/>
                <w:sz w:val="24"/>
              </w:rPr>
            </w:pPr>
            <w:r>
              <w:rPr>
                <w:rFonts w:hint="eastAsia" w:ascii="仿宋_GB2312" w:eastAsia="仿宋_GB2312"/>
                <w:kern w:val="0"/>
                <w:sz w:val="24"/>
              </w:rPr>
              <w:t>9、城镇居民人均可支配收入</w:t>
            </w:r>
          </w:p>
        </w:tc>
        <w:tc>
          <w:tcPr>
            <w:tcW w:w="820" w:type="dxa"/>
            <w:tcBorders>
              <w:top w:val="nil"/>
              <w:left w:val="single" w:color="auto" w:sz="4" w:space="0"/>
              <w:bottom w:val="single" w:color="auto" w:sz="4" w:space="0"/>
              <w:right w:val="single" w:color="auto" w:sz="4" w:space="0"/>
            </w:tcBorders>
            <w:shd w:val="clear" w:color="auto" w:fill="auto"/>
            <w:noWrap w:val="0"/>
            <w:vAlign w:val="center"/>
          </w:tcPr>
          <w:p w14:paraId="3761595D">
            <w:pPr>
              <w:widowControl/>
              <w:spacing w:line="400" w:lineRule="exact"/>
              <w:jc w:val="center"/>
              <w:rPr>
                <w:rFonts w:hint="eastAsia" w:ascii="仿宋_GB2312" w:eastAsia="仿宋_GB2312"/>
                <w:kern w:val="0"/>
                <w:sz w:val="24"/>
              </w:rPr>
            </w:pPr>
            <w:r>
              <w:rPr>
                <w:rFonts w:hint="eastAsia" w:ascii="仿宋_GB2312" w:eastAsia="仿宋_GB2312"/>
                <w:kern w:val="0"/>
                <w:sz w:val="24"/>
              </w:rPr>
              <w:t>元</w:t>
            </w:r>
          </w:p>
        </w:tc>
        <w:tc>
          <w:tcPr>
            <w:tcW w:w="1106" w:type="dxa"/>
            <w:tcBorders>
              <w:top w:val="nil"/>
              <w:left w:val="single" w:color="auto" w:sz="4" w:space="0"/>
              <w:bottom w:val="single" w:color="auto" w:sz="4" w:space="0"/>
              <w:right w:val="single" w:color="auto" w:sz="4" w:space="0"/>
            </w:tcBorders>
            <w:shd w:val="clear" w:color="auto" w:fill="auto"/>
            <w:noWrap w:val="0"/>
            <w:vAlign w:val="center"/>
          </w:tcPr>
          <w:p w14:paraId="41FAA109">
            <w:pPr>
              <w:widowControl/>
              <w:spacing w:line="400" w:lineRule="exact"/>
              <w:jc w:val="center"/>
              <w:rPr>
                <w:rFonts w:hint="eastAsia" w:ascii="仿宋_GB2312" w:eastAsia="仿宋_GB2312"/>
                <w:kern w:val="0"/>
                <w:sz w:val="24"/>
              </w:rPr>
            </w:pPr>
            <w:r>
              <w:rPr>
                <w:rFonts w:hint="eastAsia" w:ascii="仿宋_GB2312" w:eastAsia="仿宋_GB2312"/>
                <w:kern w:val="0"/>
                <w:sz w:val="24"/>
              </w:rPr>
              <w:t>高于全市平均水平</w:t>
            </w:r>
          </w:p>
        </w:tc>
        <w:tc>
          <w:tcPr>
            <w:tcW w:w="1108" w:type="dxa"/>
            <w:tcBorders>
              <w:top w:val="nil"/>
              <w:left w:val="single" w:color="auto" w:sz="4" w:space="0"/>
              <w:bottom w:val="single" w:color="auto" w:sz="4" w:space="0"/>
              <w:right w:val="single" w:color="auto" w:sz="4" w:space="0"/>
            </w:tcBorders>
            <w:shd w:val="clear" w:color="auto" w:fill="auto"/>
            <w:noWrap w:val="0"/>
            <w:vAlign w:val="center"/>
          </w:tcPr>
          <w:p w14:paraId="178D1B3F">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single" w:color="auto" w:sz="4" w:space="0"/>
              <w:bottom w:val="single" w:color="auto" w:sz="4" w:space="0"/>
              <w:right w:val="single" w:color="auto" w:sz="4" w:space="0"/>
            </w:tcBorders>
            <w:shd w:val="clear" w:color="auto" w:fill="auto"/>
            <w:noWrap w:val="0"/>
            <w:vAlign w:val="center"/>
          </w:tcPr>
          <w:p w14:paraId="6A3D82B2">
            <w:pPr>
              <w:widowControl/>
              <w:spacing w:line="400" w:lineRule="exact"/>
              <w:jc w:val="center"/>
              <w:rPr>
                <w:rFonts w:hint="eastAsia" w:ascii="仿宋_GB2312" w:eastAsia="仿宋_GB2312"/>
                <w:kern w:val="0"/>
                <w:sz w:val="24"/>
              </w:rPr>
            </w:pPr>
            <w:r>
              <w:rPr>
                <w:rFonts w:hint="eastAsia" w:ascii="仿宋_GB2312" w:eastAsia="仿宋_GB2312"/>
                <w:kern w:val="0"/>
                <w:sz w:val="24"/>
              </w:rPr>
              <w:t>高于全市平均水平</w:t>
            </w:r>
          </w:p>
        </w:tc>
        <w:tc>
          <w:tcPr>
            <w:tcW w:w="1108" w:type="dxa"/>
            <w:tcBorders>
              <w:top w:val="nil"/>
              <w:left w:val="single" w:color="auto" w:sz="4" w:space="0"/>
              <w:bottom w:val="single" w:color="auto" w:sz="4" w:space="0"/>
              <w:right w:val="single" w:color="auto" w:sz="4" w:space="0"/>
            </w:tcBorders>
            <w:shd w:val="clear" w:color="auto" w:fill="auto"/>
            <w:noWrap w:val="0"/>
            <w:vAlign w:val="center"/>
          </w:tcPr>
          <w:p w14:paraId="062BE51B">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ACBEA4">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2833DE3D">
        <w:tblPrEx>
          <w:tblCellMar>
            <w:top w:w="0" w:type="dxa"/>
            <w:left w:w="108" w:type="dxa"/>
            <w:bottom w:w="0" w:type="dxa"/>
            <w:right w:w="108" w:type="dxa"/>
          </w:tblCellMar>
        </w:tblPrEx>
        <w:trPr>
          <w:wBefore w:w="0" w:type="dxa"/>
          <w:wAfter w:w="0" w:type="dxa"/>
          <w:trHeight w:val="1151" w:hRule="atLeast"/>
          <w:jc w:val="center"/>
        </w:trPr>
        <w:tc>
          <w:tcPr>
            <w:tcW w:w="496" w:type="dxa"/>
            <w:vMerge w:val="continue"/>
            <w:tcBorders>
              <w:left w:val="single" w:color="auto" w:sz="4" w:space="0"/>
              <w:right w:val="single" w:color="auto" w:sz="4" w:space="0"/>
            </w:tcBorders>
            <w:shd w:val="clear" w:color="auto" w:fill="auto"/>
            <w:noWrap w:val="0"/>
            <w:vAlign w:val="top"/>
          </w:tcPr>
          <w:p w14:paraId="1EAE8332">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57F2A5D1">
            <w:pPr>
              <w:widowControl/>
              <w:spacing w:line="400" w:lineRule="exact"/>
              <w:rPr>
                <w:rFonts w:hint="eastAsia" w:ascii="仿宋_GB2312" w:eastAsia="仿宋_GB2312"/>
                <w:kern w:val="0"/>
                <w:sz w:val="24"/>
              </w:rPr>
            </w:pPr>
            <w:r>
              <w:rPr>
                <w:rFonts w:hint="eastAsia" w:ascii="仿宋_GB2312" w:eastAsia="仿宋_GB2312"/>
                <w:kern w:val="0"/>
                <w:sz w:val="24"/>
              </w:rPr>
              <w:t>10、九年义务教育人口覆盖率</w:t>
            </w:r>
          </w:p>
        </w:tc>
        <w:tc>
          <w:tcPr>
            <w:tcW w:w="820" w:type="dxa"/>
            <w:tcBorders>
              <w:top w:val="nil"/>
              <w:left w:val="nil"/>
              <w:bottom w:val="single" w:color="auto" w:sz="4" w:space="0"/>
              <w:right w:val="single" w:color="auto" w:sz="4" w:space="0"/>
            </w:tcBorders>
            <w:shd w:val="clear" w:color="auto" w:fill="auto"/>
            <w:noWrap w:val="0"/>
            <w:vAlign w:val="center"/>
          </w:tcPr>
          <w:p w14:paraId="60EB7F2F">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6714AD70">
            <w:pPr>
              <w:widowControl/>
              <w:spacing w:line="400" w:lineRule="exact"/>
              <w:jc w:val="center"/>
              <w:rPr>
                <w:rFonts w:hint="eastAsia" w:ascii="仿宋_GB2312" w:eastAsia="仿宋_GB2312"/>
                <w:kern w:val="0"/>
                <w:sz w:val="24"/>
              </w:rPr>
            </w:pPr>
            <w:r>
              <w:rPr>
                <w:rFonts w:hint="eastAsia" w:ascii="仿宋_GB2312" w:eastAsia="仿宋_GB2312"/>
                <w:kern w:val="0"/>
                <w:sz w:val="24"/>
              </w:rPr>
              <w:t>100</w:t>
            </w:r>
          </w:p>
        </w:tc>
        <w:tc>
          <w:tcPr>
            <w:tcW w:w="1108" w:type="dxa"/>
            <w:tcBorders>
              <w:top w:val="nil"/>
              <w:left w:val="nil"/>
              <w:bottom w:val="single" w:color="auto" w:sz="4" w:space="0"/>
              <w:right w:val="single" w:color="auto" w:sz="4" w:space="0"/>
            </w:tcBorders>
            <w:shd w:val="clear" w:color="auto" w:fill="auto"/>
            <w:noWrap w:val="0"/>
            <w:vAlign w:val="center"/>
          </w:tcPr>
          <w:p w14:paraId="4869952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60C19258">
            <w:pPr>
              <w:widowControl/>
              <w:spacing w:line="400" w:lineRule="exact"/>
              <w:jc w:val="center"/>
              <w:rPr>
                <w:rFonts w:hint="eastAsia" w:ascii="仿宋_GB2312" w:eastAsia="仿宋_GB2312"/>
                <w:kern w:val="0"/>
                <w:sz w:val="24"/>
              </w:rPr>
            </w:pPr>
            <w:r>
              <w:rPr>
                <w:rFonts w:hint="eastAsia" w:ascii="仿宋_GB2312" w:eastAsia="仿宋_GB2312"/>
                <w:kern w:val="0"/>
                <w:sz w:val="24"/>
              </w:rPr>
              <w:t>100</w:t>
            </w:r>
          </w:p>
        </w:tc>
        <w:tc>
          <w:tcPr>
            <w:tcW w:w="1108" w:type="dxa"/>
            <w:tcBorders>
              <w:top w:val="nil"/>
              <w:left w:val="nil"/>
              <w:bottom w:val="single" w:color="auto" w:sz="4" w:space="0"/>
              <w:right w:val="single" w:color="auto" w:sz="4" w:space="0"/>
            </w:tcBorders>
            <w:shd w:val="clear" w:color="auto" w:fill="auto"/>
            <w:noWrap w:val="0"/>
            <w:vAlign w:val="center"/>
          </w:tcPr>
          <w:p w14:paraId="3BC2D08D">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00D2F3A7">
            <w:pPr>
              <w:widowControl/>
              <w:spacing w:line="400" w:lineRule="exact"/>
              <w:jc w:val="center"/>
              <w:rPr>
                <w:rFonts w:hint="eastAsia" w:ascii="仿宋_GB2312" w:eastAsia="仿宋_GB2312"/>
                <w:kern w:val="0"/>
                <w:sz w:val="24"/>
              </w:rPr>
            </w:pPr>
            <w:r>
              <w:rPr>
                <w:rFonts w:hint="eastAsia" w:ascii="仿宋_GB2312" w:eastAsia="仿宋_GB2312"/>
                <w:kern w:val="0"/>
                <w:sz w:val="24"/>
              </w:rPr>
              <w:t>约束性</w:t>
            </w:r>
          </w:p>
        </w:tc>
      </w:tr>
      <w:tr w14:paraId="4BAB444A">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18DCC2D1">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4C93AD46">
            <w:pPr>
              <w:widowControl/>
              <w:spacing w:line="400" w:lineRule="exact"/>
              <w:rPr>
                <w:rFonts w:hint="eastAsia" w:ascii="仿宋_GB2312" w:eastAsia="仿宋_GB2312"/>
                <w:kern w:val="0"/>
                <w:sz w:val="24"/>
              </w:rPr>
            </w:pPr>
            <w:r>
              <w:rPr>
                <w:rFonts w:hint="eastAsia" w:ascii="仿宋_GB2312" w:eastAsia="仿宋_GB2312"/>
                <w:kern w:val="0"/>
                <w:sz w:val="24"/>
              </w:rPr>
              <w:t>11、学前三年教育入园率</w:t>
            </w:r>
          </w:p>
        </w:tc>
        <w:tc>
          <w:tcPr>
            <w:tcW w:w="820" w:type="dxa"/>
            <w:tcBorders>
              <w:top w:val="nil"/>
              <w:left w:val="nil"/>
              <w:bottom w:val="single" w:color="auto" w:sz="4" w:space="0"/>
              <w:right w:val="single" w:color="auto" w:sz="4" w:space="0"/>
            </w:tcBorders>
            <w:shd w:val="clear" w:color="auto" w:fill="auto"/>
            <w:noWrap w:val="0"/>
            <w:vAlign w:val="center"/>
          </w:tcPr>
          <w:p w14:paraId="2C8FFC9E">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66C7D73F">
            <w:pPr>
              <w:widowControl/>
              <w:spacing w:line="400" w:lineRule="exact"/>
              <w:jc w:val="center"/>
              <w:rPr>
                <w:rFonts w:hint="eastAsia" w:ascii="仿宋_GB2312" w:eastAsia="仿宋_GB2312"/>
                <w:kern w:val="0"/>
                <w:sz w:val="24"/>
              </w:rPr>
            </w:pPr>
            <w:r>
              <w:rPr>
                <w:rFonts w:hint="eastAsia" w:ascii="仿宋_GB2312" w:eastAsia="仿宋_GB2312"/>
                <w:kern w:val="0"/>
                <w:sz w:val="24"/>
              </w:rPr>
              <w:t>100</w:t>
            </w:r>
          </w:p>
        </w:tc>
        <w:tc>
          <w:tcPr>
            <w:tcW w:w="1108" w:type="dxa"/>
            <w:tcBorders>
              <w:top w:val="nil"/>
              <w:left w:val="nil"/>
              <w:bottom w:val="single" w:color="auto" w:sz="4" w:space="0"/>
              <w:right w:val="single" w:color="auto" w:sz="4" w:space="0"/>
            </w:tcBorders>
            <w:shd w:val="clear" w:color="auto" w:fill="auto"/>
            <w:noWrap w:val="0"/>
            <w:vAlign w:val="center"/>
          </w:tcPr>
          <w:p w14:paraId="61AE576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BCDBDA8">
            <w:pPr>
              <w:widowControl/>
              <w:spacing w:line="400" w:lineRule="exact"/>
              <w:jc w:val="center"/>
              <w:rPr>
                <w:rFonts w:hint="eastAsia" w:ascii="仿宋_GB2312" w:eastAsia="仿宋_GB2312"/>
                <w:kern w:val="0"/>
                <w:sz w:val="24"/>
              </w:rPr>
            </w:pPr>
            <w:r>
              <w:rPr>
                <w:rFonts w:hint="eastAsia" w:ascii="仿宋_GB2312" w:eastAsia="仿宋_GB2312"/>
                <w:kern w:val="0"/>
                <w:sz w:val="24"/>
              </w:rPr>
              <w:t>100</w:t>
            </w:r>
          </w:p>
        </w:tc>
        <w:tc>
          <w:tcPr>
            <w:tcW w:w="1108" w:type="dxa"/>
            <w:tcBorders>
              <w:top w:val="nil"/>
              <w:left w:val="nil"/>
              <w:bottom w:val="single" w:color="auto" w:sz="4" w:space="0"/>
              <w:right w:val="single" w:color="auto" w:sz="4" w:space="0"/>
            </w:tcBorders>
            <w:shd w:val="clear" w:color="auto" w:fill="auto"/>
            <w:noWrap w:val="0"/>
            <w:vAlign w:val="center"/>
          </w:tcPr>
          <w:p w14:paraId="5618B2AF">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4688A055">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1324BF78">
        <w:tblPrEx>
          <w:tblCellMar>
            <w:top w:w="0" w:type="dxa"/>
            <w:left w:w="108" w:type="dxa"/>
            <w:bottom w:w="0" w:type="dxa"/>
            <w:right w:w="108" w:type="dxa"/>
          </w:tblCellMar>
        </w:tblPrEx>
        <w:trPr>
          <w:wBefore w:w="0" w:type="dxa"/>
          <w:wAfter w:w="0" w:type="dxa"/>
          <w:trHeight w:val="363" w:hRule="atLeast"/>
          <w:jc w:val="center"/>
        </w:trPr>
        <w:tc>
          <w:tcPr>
            <w:tcW w:w="496" w:type="dxa"/>
            <w:vMerge w:val="continue"/>
            <w:tcBorders>
              <w:left w:val="single" w:color="auto" w:sz="4" w:space="0"/>
              <w:right w:val="single" w:color="auto" w:sz="4" w:space="0"/>
            </w:tcBorders>
            <w:shd w:val="clear" w:color="auto" w:fill="auto"/>
            <w:noWrap w:val="0"/>
            <w:vAlign w:val="top"/>
          </w:tcPr>
          <w:p w14:paraId="2B5896A4">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0915D2B5">
            <w:pPr>
              <w:widowControl/>
              <w:spacing w:line="400" w:lineRule="exact"/>
              <w:rPr>
                <w:rFonts w:hint="eastAsia" w:ascii="仿宋_GB2312" w:eastAsia="仿宋_GB2312"/>
                <w:kern w:val="0"/>
                <w:sz w:val="24"/>
              </w:rPr>
            </w:pPr>
            <w:r>
              <w:rPr>
                <w:rFonts w:hint="eastAsia" w:ascii="仿宋_GB2312" w:eastAsia="仿宋_GB2312"/>
                <w:kern w:val="0"/>
                <w:sz w:val="24"/>
              </w:rPr>
              <w:t>12、五年累计城镇新增实名制就业人数</w:t>
            </w:r>
          </w:p>
        </w:tc>
        <w:tc>
          <w:tcPr>
            <w:tcW w:w="820" w:type="dxa"/>
            <w:tcBorders>
              <w:top w:val="nil"/>
              <w:left w:val="nil"/>
              <w:bottom w:val="single" w:color="auto" w:sz="4" w:space="0"/>
              <w:right w:val="single" w:color="auto" w:sz="4" w:space="0"/>
            </w:tcBorders>
            <w:shd w:val="clear" w:color="auto" w:fill="auto"/>
            <w:noWrap w:val="0"/>
            <w:vAlign w:val="center"/>
          </w:tcPr>
          <w:p w14:paraId="1BC27311">
            <w:pPr>
              <w:widowControl/>
              <w:spacing w:line="400" w:lineRule="exact"/>
              <w:jc w:val="center"/>
              <w:rPr>
                <w:rFonts w:hint="eastAsia" w:ascii="仿宋_GB2312" w:eastAsia="仿宋_GB2312"/>
                <w:kern w:val="0"/>
                <w:sz w:val="24"/>
              </w:rPr>
            </w:pPr>
            <w:r>
              <w:rPr>
                <w:rFonts w:hint="eastAsia" w:ascii="仿宋_GB2312" w:eastAsia="仿宋_GB2312"/>
                <w:kern w:val="0"/>
                <w:sz w:val="24"/>
              </w:rPr>
              <w:t>万人</w:t>
            </w:r>
          </w:p>
        </w:tc>
        <w:tc>
          <w:tcPr>
            <w:tcW w:w="1106" w:type="dxa"/>
            <w:tcBorders>
              <w:top w:val="nil"/>
              <w:left w:val="nil"/>
              <w:bottom w:val="single" w:color="auto" w:sz="4" w:space="0"/>
              <w:right w:val="single" w:color="auto" w:sz="4" w:space="0"/>
            </w:tcBorders>
            <w:shd w:val="clear" w:color="auto" w:fill="auto"/>
            <w:noWrap w:val="0"/>
            <w:vAlign w:val="center"/>
          </w:tcPr>
          <w:p w14:paraId="5CF668B2">
            <w:pPr>
              <w:widowControl/>
              <w:spacing w:line="400" w:lineRule="exact"/>
              <w:jc w:val="center"/>
              <w:rPr>
                <w:rFonts w:hint="eastAsia" w:ascii="仿宋_GB2312" w:eastAsia="仿宋_GB2312"/>
                <w:kern w:val="0"/>
                <w:sz w:val="24"/>
              </w:rPr>
            </w:pPr>
            <w:r>
              <w:rPr>
                <w:rFonts w:hint="eastAsia" w:ascii="仿宋_GB2312" w:eastAsia="仿宋_GB2312"/>
                <w:kern w:val="0"/>
                <w:sz w:val="24"/>
              </w:rPr>
              <w:t>8</w:t>
            </w:r>
          </w:p>
        </w:tc>
        <w:tc>
          <w:tcPr>
            <w:tcW w:w="1108" w:type="dxa"/>
            <w:tcBorders>
              <w:top w:val="nil"/>
              <w:left w:val="nil"/>
              <w:bottom w:val="single" w:color="auto" w:sz="4" w:space="0"/>
              <w:right w:val="single" w:color="auto" w:sz="4" w:space="0"/>
            </w:tcBorders>
            <w:shd w:val="clear" w:color="auto" w:fill="auto"/>
            <w:noWrap w:val="0"/>
            <w:vAlign w:val="center"/>
          </w:tcPr>
          <w:p w14:paraId="0F843633">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442264DA">
            <w:pPr>
              <w:widowControl/>
              <w:spacing w:line="400" w:lineRule="exact"/>
              <w:jc w:val="center"/>
              <w:rPr>
                <w:rFonts w:hint="eastAsia" w:ascii="仿宋_GB2312" w:eastAsia="仿宋_GB2312"/>
                <w:kern w:val="0"/>
                <w:sz w:val="24"/>
              </w:rPr>
            </w:pPr>
            <w:r>
              <w:rPr>
                <w:rFonts w:hint="eastAsia" w:ascii="仿宋_GB2312" w:eastAsia="仿宋_GB2312"/>
                <w:kern w:val="0"/>
                <w:sz w:val="24"/>
              </w:rPr>
              <w:t>9.9</w:t>
            </w:r>
          </w:p>
        </w:tc>
        <w:tc>
          <w:tcPr>
            <w:tcW w:w="1108" w:type="dxa"/>
            <w:tcBorders>
              <w:top w:val="nil"/>
              <w:left w:val="nil"/>
              <w:bottom w:val="single" w:color="auto" w:sz="4" w:space="0"/>
              <w:right w:val="single" w:color="auto" w:sz="4" w:space="0"/>
            </w:tcBorders>
            <w:shd w:val="clear" w:color="auto" w:fill="auto"/>
            <w:noWrap w:val="0"/>
            <w:vAlign w:val="center"/>
          </w:tcPr>
          <w:p w14:paraId="2F169BB7">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1ED0CE02">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49F7C215">
        <w:tblPrEx>
          <w:tblCellMar>
            <w:top w:w="0" w:type="dxa"/>
            <w:left w:w="108" w:type="dxa"/>
            <w:bottom w:w="0" w:type="dxa"/>
            <w:right w:w="108" w:type="dxa"/>
          </w:tblCellMar>
        </w:tblPrEx>
        <w:trPr>
          <w:wBefore w:w="0" w:type="dxa"/>
          <w:wAfter w:w="0" w:type="dxa"/>
          <w:trHeight w:val="448" w:hRule="atLeast"/>
          <w:jc w:val="center"/>
        </w:trPr>
        <w:tc>
          <w:tcPr>
            <w:tcW w:w="496" w:type="dxa"/>
            <w:vMerge w:val="continue"/>
            <w:tcBorders>
              <w:left w:val="single" w:color="auto" w:sz="4" w:space="0"/>
              <w:right w:val="single" w:color="auto" w:sz="4" w:space="0"/>
            </w:tcBorders>
            <w:shd w:val="clear" w:color="auto" w:fill="auto"/>
            <w:noWrap w:val="0"/>
            <w:vAlign w:val="top"/>
          </w:tcPr>
          <w:p w14:paraId="18018370">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0B2DD223">
            <w:pPr>
              <w:widowControl/>
              <w:spacing w:line="400" w:lineRule="exact"/>
              <w:rPr>
                <w:rFonts w:hint="eastAsia" w:ascii="仿宋_GB2312" w:eastAsia="仿宋_GB2312"/>
                <w:kern w:val="0"/>
                <w:sz w:val="24"/>
              </w:rPr>
            </w:pPr>
            <w:r>
              <w:rPr>
                <w:rFonts w:hint="eastAsia" w:ascii="仿宋_GB2312" w:eastAsia="仿宋_GB2312"/>
                <w:kern w:val="0"/>
                <w:sz w:val="24"/>
              </w:rPr>
              <w:t>13、城镇登记失业率</w:t>
            </w:r>
          </w:p>
        </w:tc>
        <w:tc>
          <w:tcPr>
            <w:tcW w:w="820" w:type="dxa"/>
            <w:tcBorders>
              <w:top w:val="nil"/>
              <w:left w:val="nil"/>
              <w:bottom w:val="single" w:color="auto" w:sz="4" w:space="0"/>
              <w:right w:val="single" w:color="auto" w:sz="4" w:space="0"/>
            </w:tcBorders>
            <w:shd w:val="clear" w:color="auto" w:fill="auto"/>
            <w:noWrap w:val="0"/>
            <w:vAlign w:val="center"/>
          </w:tcPr>
          <w:p w14:paraId="6D9A86D3">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1A1A4FD5">
            <w:pPr>
              <w:widowControl/>
              <w:spacing w:line="400" w:lineRule="exact"/>
              <w:jc w:val="center"/>
              <w:rPr>
                <w:rFonts w:hint="eastAsia" w:ascii="仿宋_GB2312" w:eastAsia="仿宋_GB2312"/>
                <w:kern w:val="0"/>
                <w:sz w:val="24"/>
              </w:rPr>
            </w:pPr>
            <w:r>
              <w:rPr>
                <w:rFonts w:hint="eastAsia" w:ascii="仿宋_GB2312" w:eastAsia="仿宋_GB2312"/>
                <w:kern w:val="0"/>
                <w:sz w:val="24"/>
              </w:rPr>
              <w:t>市统一标准之下</w:t>
            </w:r>
          </w:p>
        </w:tc>
        <w:tc>
          <w:tcPr>
            <w:tcW w:w="1108" w:type="dxa"/>
            <w:tcBorders>
              <w:top w:val="nil"/>
              <w:left w:val="nil"/>
              <w:bottom w:val="single" w:color="auto" w:sz="4" w:space="0"/>
              <w:right w:val="single" w:color="auto" w:sz="4" w:space="0"/>
            </w:tcBorders>
            <w:shd w:val="clear" w:color="auto" w:fill="auto"/>
            <w:noWrap w:val="0"/>
            <w:vAlign w:val="center"/>
          </w:tcPr>
          <w:p w14:paraId="401FC3FA">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52C2683">
            <w:pPr>
              <w:widowControl/>
              <w:spacing w:line="400" w:lineRule="exact"/>
              <w:jc w:val="center"/>
              <w:rPr>
                <w:rFonts w:hint="eastAsia" w:ascii="仿宋_GB2312" w:eastAsia="仿宋_GB2312"/>
                <w:kern w:val="0"/>
                <w:sz w:val="24"/>
              </w:rPr>
            </w:pPr>
            <w:r>
              <w:rPr>
                <w:rFonts w:hint="eastAsia" w:ascii="仿宋_GB2312" w:eastAsia="仿宋_GB2312"/>
                <w:kern w:val="0"/>
                <w:sz w:val="24"/>
              </w:rPr>
              <w:t>2.56</w:t>
            </w:r>
          </w:p>
        </w:tc>
        <w:tc>
          <w:tcPr>
            <w:tcW w:w="1108" w:type="dxa"/>
            <w:tcBorders>
              <w:top w:val="nil"/>
              <w:left w:val="nil"/>
              <w:bottom w:val="single" w:color="auto" w:sz="4" w:space="0"/>
              <w:right w:val="single" w:color="auto" w:sz="4" w:space="0"/>
            </w:tcBorders>
            <w:shd w:val="clear" w:color="auto" w:fill="auto"/>
            <w:noWrap w:val="0"/>
            <w:vAlign w:val="center"/>
          </w:tcPr>
          <w:p w14:paraId="43A0C52A">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005EA99D">
            <w:pPr>
              <w:widowControl/>
              <w:spacing w:line="400" w:lineRule="exact"/>
              <w:jc w:val="center"/>
              <w:rPr>
                <w:rFonts w:hint="eastAsia" w:ascii="仿宋_GB2312" w:eastAsia="仿宋_GB2312"/>
                <w:kern w:val="0"/>
                <w:sz w:val="24"/>
              </w:rPr>
            </w:pPr>
            <w:r>
              <w:rPr>
                <w:rFonts w:hint="eastAsia" w:ascii="仿宋_GB2312" w:eastAsia="仿宋_GB2312"/>
                <w:kern w:val="0"/>
                <w:sz w:val="24"/>
              </w:rPr>
              <w:t>约束性</w:t>
            </w:r>
          </w:p>
        </w:tc>
      </w:tr>
      <w:tr w14:paraId="5A953D97">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10D2C850">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3854D9A0">
            <w:pPr>
              <w:widowControl/>
              <w:spacing w:line="400" w:lineRule="exact"/>
              <w:rPr>
                <w:rFonts w:hint="eastAsia" w:ascii="仿宋_GB2312" w:eastAsia="仿宋_GB2312"/>
                <w:kern w:val="0"/>
                <w:sz w:val="24"/>
              </w:rPr>
            </w:pPr>
            <w:r>
              <w:rPr>
                <w:rFonts w:hint="eastAsia" w:ascii="仿宋_GB2312" w:eastAsia="仿宋_GB2312"/>
                <w:kern w:val="0"/>
                <w:sz w:val="24"/>
              </w:rPr>
              <w:t>14、城市居民最低生活保障</w:t>
            </w:r>
          </w:p>
        </w:tc>
        <w:tc>
          <w:tcPr>
            <w:tcW w:w="820" w:type="dxa"/>
            <w:tcBorders>
              <w:top w:val="nil"/>
              <w:left w:val="nil"/>
              <w:bottom w:val="single" w:color="auto" w:sz="4" w:space="0"/>
              <w:right w:val="single" w:color="auto" w:sz="4" w:space="0"/>
            </w:tcBorders>
            <w:shd w:val="clear" w:color="auto" w:fill="auto"/>
            <w:noWrap w:val="0"/>
            <w:vAlign w:val="center"/>
          </w:tcPr>
          <w:p w14:paraId="649F56D1">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5290176B">
            <w:pPr>
              <w:widowControl/>
              <w:spacing w:line="400" w:lineRule="exact"/>
              <w:jc w:val="center"/>
              <w:rPr>
                <w:rFonts w:hint="eastAsia" w:ascii="仿宋_GB2312" w:eastAsia="仿宋_GB2312"/>
                <w:kern w:val="0"/>
                <w:sz w:val="24"/>
              </w:rPr>
            </w:pPr>
            <w:r>
              <w:rPr>
                <w:rFonts w:hint="eastAsia" w:ascii="仿宋_GB2312" w:eastAsia="仿宋_GB2312"/>
                <w:kern w:val="0"/>
                <w:sz w:val="24"/>
              </w:rPr>
              <w:t>应保尽保</w:t>
            </w:r>
          </w:p>
        </w:tc>
        <w:tc>
          <w:tcPr>
            <w:tcW w:w="1108" w:type="dxa"/>
            <w:tcBorders>
              <w:top w:val="nil"/>
              <w:left w:val="nil"/>
              <w:bottom w:val="single" w:color="auto" w:sz="4" w:space="0"/>
              <w:right w:val="single" w:color="auto" w:sz="4" w:space="0"/>
            </w:tcBorders>
            <w:shd w:val="clear" w:color="auto" w:fill="auto"/>
            <w:noWrap w:val="0"/>
            <w:vAlign w:val="center"/>
          </w:tcPr>
          <w:p w14:paraId="758D4AF5">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50F42950">
            <w:pPr>
              <w:widowControl/>
              <w:spacing w:line="400" w:lineRule="exact"/>
              <w:jc w:val="center"/>
              <w:rPr>
                <w:rFonts w:hint="eastAsia" w:ascii="仿宋_GB2312" w:eastAsia="仿宋_GB2312"/>
                <w:kern w:val="0"/>
                <w:sz w:val="24"/>
              </w:rPr>
            </w:pPr>
            <w:r>
              <w:rPr>
                <w:rFonts w:hint="eastAsia" w:ascii="仿宋_GB2312" w:eastAsia="仿宋_GB2312"/>
                <w:kern w:val="0"/>
                <w:sz w:val="24"/>
              </w:rPr>
              <w:t>应保尽保</w:t>
            </w:r>
          </w:p>
        </w:tc>
        <w:tc>
          <w:tcPr>
            <w:tcW w:w="1108" w:type="dxa"/>
            <w:tcBorders>
              <w:top w:val="nil"/>
              <w:left w:val="nil"/>
              <w:bottom w:val="single" w:color="auto" w:sz="4" w:space="0"/>
              <w:right w:val="single" w:color="auto" w:sz="4" w:space="0"/>
            </w:tcBorders>
            <w:shd w:val="clear" w:color="auto" w:fill="auto"/>
            <w:noWrap w:val="0"/>
            <w:vAlign w:val="center"/>
          </w:tcPr>
          <w:p w14:paraId="7E335CCA">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A574578">
            <w:pPr>
              <w:widowControl/>
              <w:spacing w:line="400" w:lineRule="exact"/>
              <w:jc w:val="center"/>
              <w:rPr>
                <w:rFonts w:hint="eastAsia" w:ascii="仿宋_GB2312" w:eastAsia="仿宋_GB2312"/>
                <w:kern w:val="0"/>
                <w:sz w:val="24"/>
              </w:rPr>
            </w:pPr>
            <w:r>
              <w:rPr>
                <w:rFonts w:hint="eastAsia" w:ascii="仿宋_GB2312" w:eastAsia="仿宋_GB2312"/>
                <w:kern w:val="0"/>
                <w:sz w:val="24"/>
              </w:rPr>
              <w:t>约束性</w:t>
            </w:r>
          </w:p>
        </w:tc>
      </w:tr>
      <w:tr w14:paraId="3E5CAB81">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4A9EA25B">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2B4D8425">
            <w:pPr>
              <w:widowControl/>
              <w:spacing w:line="400" w:lineRule="exact"/>
              <w:rPr>
                <w:rFonts w:hint="eastAsia" w:ascii="仿宋_GB2312" w:eastAsia="仿宋_GB2312"/>
                <w:kern w:val="0"/>
                <w:sz w:val="24"/>
              </w:rPr>
            </w:pPr>
            <w:r>
              <w:rPr>
                <w:rFonts w:hint="eastAsia" w:ascii="仿宋_GB2312" w:eastAsia="仿宋_GB2312"/>
                <w:kern w:val="0"/>
                <w:sz w:val="24"/>
              </w:rPr>
              <w:t>15、每千名老人拥有养老床位</w:t>
            </w:r>
          </w:p>
        </w:tc>
        <w:tc>
          <w:tcPr>
            <w:tcW w:w="820" w:type="dxa"/>
            <w:tcBorders>
              <w:top w:val="nil"/>
              <w:left w:val="nil"/>
              <w:bottom w:val="single" w:color="auto" w:sz="4" w:space="0"/>
              <w:right w:val="single" w:color="auto" w:sz="4" w:space="0"/>
            </w:tcBorders>
            <w:shd w:val="clear" w:color="auto" w:fill="auto"/>
            <w:noWrap w:val="0"/>
            <w:vAlign w:val="center"/>
          </w:tcPr>
          <w:p w14:paraId="061A8FC5">
            <w:pPr>
              <w:widowControl/>
              <w:spacing w:line="400" w:lineRule="exact"/>
              <w:jc w:val="center"/>
              <w:rPr>
                <w:rFonts w:hint="eastAsia" w:ascii="仿宋_GB2312" w:eastAsia="仿宋_GB2312"/>
                <w:kern w:val="0"/>
                <w:sz w:val="24"/>
              </w:rPr>
            </w:pPr>
            <w:r>
              <w:rPr>
                <w:rFonts w:hint="eastAsia" w:ascii="仿宋_GB2312" w:eastAsia="仿宋_GB2312"/>
                <w:kern w:val="0"/>
                <w:sz w:val="24"/>
              </w:rPr>
              <w:t>张</w:t>
            </w:r>
          </w:p>
        </w:tc>
        <w:tc>
          <w:tcPr>
            <w:tcW w:w="1106" w:type="dxa"/>
            <w:tcBorders>
              <w:top w:val="nil"/>
              <w:left w:val="nil"/>
              <w:bottom w:val="single" w:color="auto" w:sz="4" w:space="0"/>
              <w:right w:val="single" w:color="auto" w:sz="4" w:space="0"/>
            </w:tcBorders>
            <w:shd w:val="clear" w:color="auto" w:fill="auto"/>
            <w:noWrap w:val="0"/>
            <w:vAlign w:val="center"/>
          </w:tcPr>
          <w:p w14:paraId="34D093D6">
            <w:pPr>
              <w:widowControl/>
              <w:spacing w:line="400" w:lineRule="exact"/>
              <w:jc w:val="center"/>
              <w:rPr>
                <w:rFonts w:hint="eastAsia" w:ascii="仿宋_GB2312" w:eastAsia="仿宋_GB2312"/>
                <w:kern w:val="0"/>
                <w:sz w:val="24"/>
              </w:rPr>
            </w:pPr>
            <w:r>
              <w:rPr>
                <w:rFonts w:hint="eastAsia" w:ascii="仿宋_GB2312" w:eastAsia="仿宋_GB2312"/>
                <w:kern w:val="0"/>
                <w:sz w:val="24"/>
              </w:rPr>
              <w:t>50</w:t>
            </w:r>
          </w:p>
        </w:tc>
        <w:tc>
          <w:tcPr>
            <w:tcW w:w="1108" w:type="dxa"/>
            <w:tcBorders>
              <w:top w:val="nil"/>
              <w:left w:val="nil"/>
              <w:bottom w:val="single" w:color="auto" w:sz="4" w:space="0"/>
              <w:right w:val="single" w:color="auto" w:sz="4" w:space="0"/>
            </w:tcBorders>
            <w:shd w:val="clear" w:color="auto" w:fill="auto"/>
            <w:noWrap w:val="0"/>
            <w:vAlign w:val="center"/>
          </w:tcPr>
          <w:p w14:paraId="5FDA47E6">
            <w:pPr>
              <w:widowControl/>
              <w:spacing w:line="400" w:lineRule="exact"/>
              <w:jc w:val="center"/>
              <w:rPr>
                <w:rFonts w:hint="eastAsia" w:ascii="仿宋_GB2312" w:eastAsia="仿宋_GB2312"/>
                <w:kern w:val="0"/>
                <w:sz w:val="24"/>
              </w:rPr>
            </w:pPr>
            <w:r>
              <w:rPr>
                <w:rFonts w:hint="eastAsia" w:ascii="仿宋_GB2312" w:eastAsia="仿宋_GB2312"/>
                <w:kern w:val="0"/>
                <w:sz w:val="24"/>
              </w:rPr>
              <w:t>12</w:t>
            </w:r>
          </w:p>
        </w:tc>
        <w:tc>
          <w:tcPr>
            <w:tcW w:w="1106" w:type="dxa"/>
            <w:tcBorders>
              <w:top w:val="nil"/>
              <w:left w:val="nil"/>
              <w:bottom w:val="single" w:color="auto" w:sz="4" w:space="0"/>
              <w:right w:val="single" w:color="auto" w:sz="4" w:space="0"/>
            </w:tcBorders>
            <w:shd w:val="clear" w:color="auto" w:fill="auto"/>
            <w:noWrap w:val="0"/>
            <w:vAlign w:val="center"/>
          </w:tcPr>
          <w:p w14:paraId="0B56350D">
            <w:pPr>
              <w:widowControl/>
              <w:spacing w:line="400" w:lineRule="exact"/>
              <w:jc w:val="center"/>
              <w:rPr>
                <w:rFonts w:hint="eastAsia" w:ascii="仿宋_GB2312" w:eastAsia="仿宋_GB2312"/>
                <w:kern w:val="0"/>
                <w:sz w:val="24"/>
              </w:rPr>
            </w:pPr>
            <w:r>
              <w:rPr>
                <w:rFonts w:hint="eastAsia" w:ascii="仿宋_GB2312" w:eastAsia="仿宋_GB2312"/>
                <w:kern w:val="0"/>
                <w:sz w:val="24"/>
              </w:rPr>
              <w:t>27</w:t>
            </w:r>
          </w:p>
        </w:tc>
        <w:tc>
          <w:tcPr>
            <w:tcW w:w="1108" w:type="dxa"/>
            <w:tcBorders>
              <w:top w:val="nil"/>
              <w:left w:val="nil"/>
              <w:bottom w:val="single" w:color="auto" w:sz="4" w:space="0"/>
              <w:right w:val="single" w:color="auto" w:sz="4" w:space="0"/>
            </w:tcBorders>
            <w:shd w:val="clear" w:color="auto" w:fill="auto"/>
            <w:noWrap w:val="0"/>
            <w:vAlign w:val="center"/>
          </w:tcPr>
          <w:p w14:paraId="0F82CB7F">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70947AE">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5D6D37B8">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5B51B213">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6B79078B">
            <w:pPr>
              <w:widowControl/>
              <w:spacing w:line="400" w:lineRule="exact"/>
              <w:rPr>
                <w:rFonts w:hint="eastAsia" w:ascii="仿宋_GB2312" w:eastAsia="仿宋_GB2312"/>
                <w:kern w:val="0"/>
                <w:sz w:val="24"/>
              </w:rPr>
            </w:pPr>
            <w:r>
              <w:rPr>
                <w:rFonts w:hint="eastAsia" w:ascii="仿宋_GB2312" w:eastAsia="仿宋_GB2312"/>
                <w:kern w:val="0"/>
                <w:sz w:val="24"/>
              </w:rPr>
              <w:t>16、每1500户居民配备责任医生和责任护士</w:t>
            </w:r>
          </w:p>
        </w:tc>
        <w:tc>
          <w:tcPr>
            <w:tcW w:w="820" w:type="dxa"/>
            <w:tcBorders>
              <w:top w:val="nil"/>
              <w:left w:val="nil"/>
              <w:bottom w:val="single" w:color="auto" w:sz="4" w:space="0"/>
              <w:right w:val="single" w:color="auto" w:sz="4" w:space="0"/>
            </w:tcBorders>
            <w:shd w:val="clear" w:color="auto" w:fill="auto"/>
            <w:noWrap w:val="0"/>
            <w:vAlign w:val="center"/>
          </w:tcPr>
          <w:p w14:paraId="7FC02203">
            <w:pPr>
              <w:widowControl/>
              <w:spacing w:line="400" w:lineRule="exact"/>
              <w:jc w:val="center"/>
              <w:rPr>
                <w:rFonts w:hint="eastAsia" w:ascii="仿宋_GB2312" w:eastAsia="仿宋_GB2312"/>
                <w:kern w:val="0"/>
                <w:sz w:val="24"/>
              </w:rPr>
            </w:pPr>
            <w:r>
              <w:rPr>
                <w:rFonts w:hint="eastAsia" w:ascii="仿宋_GB2312" w:eastAsia="仿宋_GB2312"/>
                <w:kern w:val="0"/>
                <w:sz w:val="24"/>
              </w:rPr>
              <w:t>人</w:t>
            </w:r>
          </w:p>
        </w:tc>
        <w:tc>
          <w:tcPr>
            <w:tcW w:w="1106" w:type="dxa"/>
            <w:tcBorders>
              <w:top w:val="nil"/>
              <w:left w:val="nil"/>
              <w:bottom w:val="single" w:color="auto" w:sz="4" w:space="0"/>
              <w:right w:val="single" w:color="auto" w:sz="4" w:space="0"/>
            </w:tcBorders>
            <w:shd w:val="clear" w:color="auto" w:fill="auto"/>
            <w:noWrap w:val="0"/>
            <w:vAlign w:val="center"/>
          </w:tcPr>
          <w:p w14:paraId="3B8DEB6B">
            <w:pPr>
              <w:widowControl/>
              <w:spacing w:line="400" w:lineRule="exact"/>
              <w:jc w:val="center"/>
              <w:rPr>
                <w:rFonts w:hint="eastAsia" w:ascii="仿宋_GB2312" w:eastAsia="仿宋_GB2312"/>
                <w:kern w:val="0"/>
                <w:sz w:val="24"/>
              </w:rPr>
            </w:pPr>
            <w:r>
              <w:rPr>
                <w:rFonts w:hint="eastAsia" w:ascii="仿宋_GB2312" w:eastAsia="仿宋_GB2312"/>
                <w:kern w:val="0"/>
                <w:sz w:val="24"/>
              </w:rPr>
              <w:t>1人/1人</w:t>
            </w:r>
          </w:p>
        </w:tc>
        <w:tc>
          <w:tcPr>
            <w:tcW w:w="1108" w:type="dxa"/>
            <w:tcBorders>
              <w:top w:val="nil"/>
              <w:left w:val="nil"/>
              <w:bottom w:val="single" w:color="auto" w:sz="4" w:space="0"/>
              <w:right w:val="single" w:color="auto" w:sz="4" w:space="0"/>
            </w:tcBorders>
            <w:shd w:val="clear" w:color="auto" w:fill="auto"/>
            <w:noWrap w:val="0"/>
            <w:vAlign w:val="center"/>
          </w:tcPr>
          <w:p w14:paraId="7DA9E05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360689C3">
            <w:pPr>
              <w:widowControl/>
              <w:spacing w:line="400" w:lineRule="exact"/>
              <w:jc w:val="center"/>
              <w:rPr>
                <w:rFonts w:hint="eastAsia" w:ascii="仿宋_GB2312" w:eastAsia="仿宋_GB2312"/>
                <w:kern w:val="0"/>
                <w:sz w:val="24"/>
              </w:rPr>
            </w:pPr>
            <w:r>
              <w:rPr>
                <w:rFonts w:hint="eastAsia" w:ascii="仿宋_GB2312" w:eastAsia="仿宋_GB2312"/>
                <w:kern w:val="0"/>
                <w:sz w:val="24"/>
              </w:rPr>
              <w:t>1人/1人</w:t>
            </w:r>
          </w:p>
        </w:tc>
        <w:tc>
          <w:tcPr>
            <w:tcW w:w="1108" w:type="dxa"/>
            <w:tcBorders>
              <w:top w:val="nil"/>
              <w:left w:val="nil"/>
              <w:bottom w:val="single" w:color="auto" w:sz="4" w:space="0"/>
              <w:right w:val="single" w:color="auto" w:sz="4" w:space="0"/>
            </w:tcBorders>
            <w:shd w:val="clear" w:color="auto" w:fill="auto"/>
            <w:noWrap w:val="0"/>
            <w:vAlign w:val="center"/>
          </w:tcPr>
          <w:p w14:paraId="5979C9C7">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29B6C01D">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3DACEFA2">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2CDE744F">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10D43FE9">
            <w:pPr>
              <w:widowControl/>
              <w:spacing w:line="400" w:lineRule="exact"/>
              <w:rPr>
                <w:rFonts w:hint="eastAsia" w:ascii="仿宋_GB2312" w:eastAsia="仿宋_GB2312"/>
                <w:kern w:val="0"/>
                <w:sz w:val="24"/>
              </w:rPr>
            </w:pPr>
            <w:r>
              <w:rPr>
                <w:rFonts w:hint="eastAsia" w:ascii="仿宋_GB2312" w:eastAsia="仿宋_GB2312"/>
                <w:kern w:val="0"/>
                <w:sz w:val="24"/>
              </w:rPr>
              <w:t>17、人口出生率</w:t>
            </w:r>
          </w:p>
        </w:tc>
        <w:tc>
          <w:tcPr>
            <w:tcW w:w="820" w:type="dxa"/>
            <w:tcBorders>
              <w:top w:val="nil"/>
              <w:left w:val="nil"/>
              <w:bottom w:val="single" w:color="auto" w:sz="4" w:space="0"/>
              <w:right w:val="single" w:color="auto" w:sz="4" w:space="0"/>
            </w:tcBorders>
            <w:shd w:val="clear" w:color="auto" w:fill="auto"/>
            <w:noWrap w:val="0"/>
            <w:vAlign w:val="center"/>
          </w:tcPr>
          <w:p w14:paraId="24711439">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5E259D28">
            <w:pPr>
              <w:widowControl/>
              <w:spacing w:line="400" w:lineRule="exact"/>
              <w:jc w:val="center"/>
              <w:rPr>
                <w:rFonts w:hint="eastAsia" w:ascii="仿宋_GB2312" w:eastAsia="仿宋_GB2312"/>
                <w:kern w:val="0"/>
                <w:sz w:val="24"/>
              </w:rPr>
            </w:pPr>
            <w:r>
              <w:rPr>
                <w:rFonts w:hint="eastAsia" w:ascii="仿宋_GB2312" w:eastAsia="仿宋_GB2312"/>
                <w:kern w:val="0"/>
                <w:sz w:val="24"/>
              </w:rPr>
              <w:t>＜6.98</w:t>
            </w:r>
          </w:p>
        </w:tc>
        <w:tc>
          <w:tcPr>
            <w:tcW w:w="1108" w:type="dxa"/>
            <w:tcBorders>
              <w:top w:val="nil"/>
              <w:left w:val="nil"/>
              <w:bottom w:val="single" w:color="auto" w:sz="4" w:space="0"/>
              <w:right w:val="single" w:color="auto" w:sz="4" w:space="0"/>
            </w:tcBorders>
            <w:shd w:val="clear" w:color="auto" w:fill="auto"/>
            <w:noWrap w:val="0"/>
            <w:vAlign w:val="center"/>
          </w:tcPr>
          <w:p w14:paraId="7B9E019A">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5A8C9CD1">
            <w:pPr>
              <w:widowControl/>
              <w:spacing w:line="400" w:lineRule="exact"/>
              <w:jc w:val="center"/>
              <w:rPr>
                <w:rFonts w:hint="eastAsia" w:ascii="仿宋_GB2312" w:eastAsia="仿宋_GB2312"/>
                <w:kern w:val="0"/>
                <w:sz w:val="24"/>
              </w:rPr>
            </w:pPr>
            <w:r>
              <w:rPr>
                <w:rFonts w:hint="eastAsia" w:ascii="仿宋_GB2312" w:eastAsia="仿宋_GB2312"/>
                <w:kern w:val="0"/>
                <w:sz w:val="24"/>
              </w:rPr>
              <w:t>8.46</w:t>
            </w:r>
          </w:p>
        </w:tc>
        <w:tc>
          <w:tcPr>
            <w:tcW w:w="1108" w:type="dxa"/>
            <w:tcBorders>
              <w:top w:val="nil"/>
              <w:left w:val="nil"/>
              <w:bottom w:val="single" w:color="auto" w:sz="4" w:space="0"/>
              <w:right w:val="single" w:color="auto" w:sz="4" w:space="0"/>
            </w:tcBorders>
            <w:shd w:val="clear" w:color="auto" w:fill="auto"/>
            <w:noWrap w:val="0"/>
            <w:vAlign w:val="center"/>
          </w:tcPr>
          <w:p w14:paraId="3E73410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19307028">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08D5EC82">
        <w:tblPrEx>
          <w:tblCellMar>
            <w:top w:w="0" w:type="dxa"/>
            <w:left w:w="108" w:type="dxa"/>
            <w:bottom w:w="0" w:type="dxa"/>
            <w:right w:w="108" w:type="dxa"/>
          </w:tblCellMar>
        </w:tblPrEx>
        <w:trPr>
          <w:wBefore w:w="0" w:type="dxa"/>
          <w:wAfter w:w="0" w:type="dxa"/>
          <w:trHeight w:val="397" w:hRule="atLeast"/>
          <w:jc w:val="center"/>
        </w:trPr>
        <w:tc>
          <w:tcPr>
            <w:tcW w:w="496" w:type="dxa"/>
            <w:vMerge w:val="continue"/>
            <w:tcBorders>
              <w:left w:val="single" w:color="auto" w:sz="4" w:space="0"/>
              <w:right w:val="single" w:color="auto" w:sz="4" w:space="0"/>
            </w:tcBorders>
            <w:shd w:val="clear" w:color="auto" w:fill="auto"/>
            <w:noWrap w:val="0"/>
            <w:vAlign w:val="top"/>
          </w:tcPr>
          <w:p w14:paraId="73BFB78D">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06981842">
            <w:pPr>
              <w:widowControl/>
              <w:spacing w:line="400" w:lineRule="exact"/>
              <w:rPr>
                <w:rFonts w:hint="eastAsia" w:ascii="仿宋_GB2312" w:eastAsia="仿宋_GB2312"/>
                <w:kern w:val="0"/>
                <w:sz w:val="24"/>
              </w:rPr>
            </w:pPr>
            <w:r>
              <w:rPr>
                <w:rFonts w:hint="eastAsia" w:ascii="仿宋_GB2312" w:eastAsia="仿宋_GB2312"/>
                <w:kern w:val="0"/>
                <w:sz w:val="24"/>
              </w:rPr>
              <w:t>18、人口自然增长率</w:t>
            </w:r>
          </w:p>
        </w:tc>
        <w:tc>
          <w:tcPr>
            <w:tcW w:w="820" w:type="dxa"/>
            <w:tcBorders>
              <w:top w:val="nil"/>
              <w:left w:val="nil"/>
              <w:bottom w:val="single" w:color="auto" w:sz="4" w:space="0"/>
              <w:right w:val="single" w:color="auto" w:sz="4" w:space="0"/>
            </w:tcBorders>
            <w:shd w:val="clear" w:color="auto" w:fill="auto"/>
            <w:noWrap w:val="0"/>
            <w:vAlign w:val="center"/>
          </w:tcPr>
          <w:p w14:paraId="629E1CF5">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61E4EE79">
            <w:pPr>
              <w:widowControl/>
              <w:spacing w:line="400" w:lineRule="exact"/>
              <w:jc w:val="center"/>
              <w:rPr>
                <w:rFonts w:hint="eastAsia" w:ascii="仿宋_GB2312" w:eastAsia="仿宋_GB2312"/>
                <w:kern w:val="0"/>
                <w:sz w:val="24"/>
              </w:rPr>
            </w:pPr>
            <w:r>
              <w:rPr>
                <w:rFonts w:hint="eastAsia" w:ascii="仿宋_GB2312" w:eastAsia="仿宋_GB2312"/>
                <w:kern w:val="0"/>
                <w:sz w:val="24"/>
              </w:rPr>
              <w:t>＜-1.14</w:t>
            </w:r>
          </w:p>
        </w:tc>
        <w:tc>
          <w:tcPr>
            <w:tcW w:w="1108" w:type="dxa"/>
            <w:tcBorders>
              <w:top w:val="nil"/>
              <w:left w:val="nil"/>
              <w:bottom w:val="single" w:color="auto" w:sz="4" w:space="0"/>
              <w:right w:val="single" w:color="auto" w:sz="4" w:space="0"/>
            </w:tcBorders>
            <w:shd w:val="clear" w:color="auto" w:fill="auto"/>
            <w:noWrap w:val="0"/>
            <w:vAlign w:val="center"/>
          </w:tcPr>
          <w:p w14:paraId="11D70CEC">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A9683AB">
            <w:pPr>
              <w:widowControl/>
              <w:spacing w:line="400" w:lineRule="exact"/>
              <w:jc w:val="center"/>
              <w:rPr>
                <w:rFonts w:hint="eastAsia" w:ascii="仿宋_GB2312" w:eastAsia="仿宋_GB2312"/>
                <w:kern w:val="0"/>
                <w:sz w:val="24"/>
              </w:rPr>
            </w:pPr>
            <w:r>
              <w:rPr>
                <w:rFonts w:hint="eastAsia" w:ascii="仿宋_GB2312" w:eastAsia="仿宋_GB2312"/>
                <w:kern w:val="0"/>
                <w:sz w:val="24"/>
              </w:rPr>
              <w:t>0.5</w:t>
            </w:r>
          </w:p>
        </w:tc>
        <w:tc>
          <w:tcPr>
            <w:tcW w:w="1108" w:type="dxa"/>
            <w:tcBorders>
              <w:top w:val="nil"/>
              <w:left w:val="nil"/>
              <w:bottom w:val="single" w:color="auto" w:sz="4" w:space="0"/>
              <w:right w:val="single" w:color="auto" w:sz="4" w:space="0"/>
            </w:tcBorders>
            <w:shd w:val="clear" w:color="auto" w:fill="auto"/>
            <w:noWrap w:val="0"/>
            <w:vAlign w:val="center"/>
          </w:tcPr>
          <w:p w14:paraId="30866F1E">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2CD1C7E3">
            <w:pPr>
              <w:widowControl/>
              <w:spacing w:line="400" w:lineRule="exact"/>
              <w:jc w:val="center"/>
              <w:rPr>
                <w:rFonts w:hint="eastAsia" w:ascii="仿宋_GB2312" w:eastAsia="仿宋_GB2312"/>
                <w:kern w:val="0"/>
                <w:sz w:val="24"/>
              </w:rPr>
            </w:pPr>
            <w:r>
              <w:rPr>
                <w:rFonts w:hint="eastAsia" w:ascii="仿宋_GB2312" w:eastAsia="仿宋_GB2312"/>
                <w:kern w:val="0"/>
                <w:sz w:val="24"/>
              </w:rPr>
              <w:t>预期性</w:t>
            </w:r>
          </w:p>
        </w:tc>
      </w:tr>
      <w:tr w14:paraId="6590AD27">
        <w:tblPrEx>
          <w:tblCellMar>
            <w:top w:w="0" w:type="dxa"/>
            <w:left w:w="108" w:type="dxa"/>
            <w:bottom w:w="0" w:type="dxa"/>
            <w:right w:w="108" w:type="dxa"/>
          </w:tblCellMar>
        </w:tblPrEx>
        <w:trPr>
          <w:wBefore w:w="0" w:type="dxa"/>
          <w:wAfter w:w="0" w:type="dxa"/>
          <w:trHeight w:val="327" w:hRule="atLeast"/>
          <w:jc w:val="center"/>
        </w:trPr>
        <w:tc>
          <w:tcPr>
            <w:tcW w:w="496" w:type="dxa"/>
            <w:vMerge w:val="continue"/>
            <w:tcBorders>
              <w:left w:val="single" w:color="auto" w:sz="4" w:space="0"/>
              <w:right w:val="single" w:color="auto" w:sz="4" w:space="0"/>
            </w:tcBorders>
            <w:shd w:val="clear" w:color="auto" w:fill="auto"/>
            <w:noWrap w:val="0"/>
            <w:vAlign w:val="top"/>
          </w:tcPr>
          <w:p w14:paraId="21730E9E">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554A82BF">
            <w:pPr>
              <w:widowControl/>
              <w:spacing w:line="400" w:lineRule="exact"/>
              <w:rPr>
                <w:rFonts w:hint="eastAsia" w:ascii="仿宋_GB2312" w:eastAsia="仿宋_GB2312"/>
                <w:kern w:val="0"/>
                <w:sz w:val="24"/>
              </w:rPr>
            </w:pPr>
            <w:r>
              <w:rPr>
                <w:rFonts w:hint="eastAsia" w:ascii="仿宋_GB2312" w:eastAsia="仿宋_GB2312"/>
                <w:kern w:val="0"/>
                <w:sz w:val="24"/>
              </w:rPr>
              <w:t>19、城市绿化覆盖率</w:t>
            </w:r>
          </w:p>
        </w:tc>
        <w:tc>
          <w:tcPr>
            <w:tcW w:w="820" w:type="dxa"/>
            <w:tcBorders>
              <w:top w:val="nil"/>
              <w:left w:val="nil"/>
              <w:bottom w:val="single" w:color="auto" w:sz="4" w:space="0"/>
              <w:right w:val="single" w:color="auto" w:sz="4" w:space="0"/>
            </w:tcBorders>
            <w:shd w:val="clear" w:color="auto" w:fill="auto"/>
            <w:noWrap w:val="0"/>
            <w:vAlign w:val="center"/>
          </w:tcPr>
          <w:p w14:paraId="6A344BB7">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205D1D0">
            <w:pPr>
              <w:widowControl/>
              <w:spacing w:line="400" w:lineRule="exact"/>
              <w:jc w:val="center"/>
              <w:rPr>
                <w:rFonts w:hint="eastAsia" w:ascii="仿宋_GB2312" w:eastAsia="仿宋_GB2312"/>
                <w:kern w:val="0"/>
                <w:sz w:val="24"/>
              </w:rPr>
            </w:pPr>
            <w:r>
              <w:rPr>
                <w:rFonts w:hint="eastAsia" w:ascii="仿宋_GB2312" w:eastAsia="仿宋_GB2312"/>
                <w:kern w:val="0"/>
                <w:sz w:val="24"/>
              </w:rPr>
              <w:t>44.1</w:t>
            </w:r>
          </w:p>
        </w:tc>
        <w:tc>
          <w:tcPr>
            <w:tcW w:w="1108" w:type="dxa"/>
            <w:tcBorders>
              <w:top w:val="nil"/>
              <w:left w:val="nil"/>
              <w:bottom w:val="single" w:color="auto" w:sz="4" w:space="0"/>
              <w:right w:val="single" w:color="auto" w:sz="4" w:space="0"/>
            </w:tcBorders>
            <w:shd w:val="clear" w:color="auto" w:fill="auto"/>
            <w:noWrap w:val="0"/>
            <w:vAlign w:val="center"/>
          </w:tcPr>
          <w:p w14:paraId="2778F2EB">
            <w:pPr>
              <w:widowControl/>
              <w:spacing w:line="400" w:lineRule="exact"/>
              <w:jc w:val="center"/>
              <w:rPr>
                <w:rFonts w:hint="eastAsia" w:ascii="仿宋_GB2312" w:eastAsia="仿宋_GB2312"/>
                <w:kern w:val="0"/>
                <w:sz w:val="24"/>
              </w:rPr>
            </w:pPr>
            <w:r>
              <w:rPr>
                <w:rFonts w:hint="eastAsia" w:ascii="仿宋_GB2312" w:eastAsia="仿宋_GB2312"/>
                <w:kern w:val="0"/>
                <w:sz w:val="24"/>
              </w:rPr>
              <w:t>0.1</w:t>
            </w:r>
          </w:p>
        </w:tc>
        <w:tc>
          <w:tcPr>
            <w:tcW w:w="1106" w:type="dxa"/>
            <w:tcBorders>
              <w:top w:val="nil"/>
              <w:left w:val="nil"/>
              <w:bottom w:val="single" w:color="auto" w:sz="4" w:space="0"/>
              <w:right w:val="single" w:color="auto" w:sz="4" w:space="0"/>
            </w:tcBorders>
            <w:shd w:val="clear" w:color="auto" w:fill="auto"/>
            <w:noWrap w:val="0"/>
            <w:vAlign w:val="center"/>
          </w:tcPr>
          <w:p w14:paraId="4EC7AE15">
            <w:pPr>
              <w:widowControl/>
              <w:spacing w:line="400" w:lineRule="exact"/>
              <w:jc w:val="center"/>
              <w:rPr>
                <w:rFonts w:hint="eastAsia" w:ascii="仿宋_GB2312" w:eastAsia="仿宋_GB2312"/>
                <w:kern w:val="0"/>
                <w:sz w:val="24"/>
              </w:rPr>
            </w:pPr>
            <w:r>
              <w:rPr>
                <w:rFonts w:hint="eastAsia" w:ascii="仿宋_GB2312" w:eastAsia="仿宋_GB2312"/>
                <w:kern w:val="0"/>
                <w:sz w:val="24"/>
              </w:rPr>
              <w:t>44.1</w:t>
            </w:r>
          </w:p>
        </w:tc>
        <w:tc>
          <w:tcPr>
            <w:tcW w:w="1108" w:type="dxa"/>
            <w:tcBorders>
              <w:top w:val="nil"/>
              <w:left w:val="nil"/>
              <w:bottom w:val="single" w:color="auto" w:sz="4" w:space="0"/>
              <w:right w:val="single" w:color="auto" w:sz="4" w:space="0"/>
            </w:tcBorders>
            <w:shd w:val="clear" w:color="auto" w:fill="auto"/>
            <w:noWrap w:val="0"/>
            <w:vAlign w:val="center"/>
          </w:tcPr>
          <w:p w14:paraId="16A844FF">
            <w:pPr>
              <w:widowControl/>
              <w:spacing w:line="400" w:lineRule="exact"/>
              <w:jc w:val="center"/>
              <w:rPr>
                <w:rFonts w:hint="eastAsia" w:ascii="仿宋_GB2312" w:eastAsia="仿宋_GB2312"/>
                <w:kern w:val="0"/>
                <w:sz w:val="24"/>
              </w:rPr>
            </w:pPr>
            <w:r>
              <w:rPr>
                <w:rFonts w:hint="eastAsia" w:ascii="仿宋_GB2312" w:eastAsia="仿宋_GB2312"/>
                <w:kern w:val="0"/>
                <w:sz w:val="24"/>
              </w:rPr>
              <w:t>0.1</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6A496379">
            <w:pPr>
              <w:widowControl/>
              <w:spacing w:line="400" w:lineRule="exact"/>
              <w:jc w:val="center"/>
              <w:rPr>
                <w:rFonts w:hint="eastAsia" w:ascii="仿宋_GB2312" w:eastAsia="仿宋_GB2312"/>
                <w:kern w:val="0"/>
                <w:sz w:val="24"/>
              </w:rPr>
            </w:pPr>
            <w:r>
              <w:rPr>
                <w:rFonts w:hint="eastAsia" w:ascii="仿宋_GB2312" w:eastAsia="仿宋_GB2312"/>
                <w:kern w:val="0"/>
                <w:sz w:val="24"/>
              </w:rPr>
              <w:t xml:space="preserve">约束性 </w:t>
            </w:r>
          </w:p>
        </w:tc>
      </w:tr>
      <w:tr w14:paraId="2F0F8382">
        <w:tblPrEx>
          <w:tblCellMar>
            <w:top w:w="0" w:type="dxa"/>
            <w:left w:w="108" w:type="dxa"/>
            <w:bottom w:w="0" w:type="dxa"/>
            <w:right w:w="108" w:type="dxa"/>
          </w:tblCellMar>
        </w:tblPrEx>
        <w:trPr>
          <w:wBefore w:w="0" w:type="dxa"/>
          <w:wAfter w:w="0" w:type="dxa"/>
          <w:trHeight w:val="302" w:hRule="atLeast"/>
          <w:jc w:val="center"/>
        </w:trPr>
        <w:tc>
          <w:tcPr>
            <w:tcW w:w="496" w:type="dxa"/>
            <w:vMerge w:val="continue"/>
            <w:tcBorders>
              <w:left w:val="single" w:color="auto" w:sz="4" w:space="0"/>
              <w:right w:val="single" w:color="auto" w:sz="4" w:space="0"/>
            </w:tcBorders>
            <w:shd w:val="clear" w:color="auto" w:fill="auto"/>
            <w:noWrap w:val="0"/>
            <w:vAlign w:val="top"/>
          </w:tcPr>
          <w:p w14:paraId="34F32AB7">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0B851E0D">
            <w:pPr>
              <w:widowControl/>
              <w:spacing w:line="400" w:lineRule="exact"/>
              <w:rPr>
                <w:rFonts w:hint="eastAsia" w:ascii="仿宋_GB2312" w:eastAsia="仿宋_GB2312"/>
                <w:kern w:val="0"/>
                <w:sz w:val="24"/>
              </w:rPr>
            </w:pPr>
            <w:r>
              <w:rPr>
                <w:rFonts w:hint="eastAsia" w:ascii="仿宋_GB2312" w:eastAsia="仿宋_GB2312"/>
                <w:kern w:val="0"/>
                <w:sz w:val="24"/>
              </w:rPr>
              <w:t>20、人均公共绿地面积</w:t>
            </w:r>
          </w:p>
        </w:tc>
        <w:tc>
          <w:tcPr>
            <w:tcW w:w="820" w:type="dxa"/>
            <w:tcBorders>
              <w:top w:val="nil"/>
              <w:left w:val="nil"/>
              <w:bottom w:val="single" w:color="auto" w:sz="4" w:space="0"/>
              <w:right w:val="single" w:color="auto" w:sz="4" w:space="0"/>
            </w:tcBorders>
            <w:shd w:val="clear" w:color="auto" w:fill="auto"/>
            <w:noWrap w:val="0"/>
            <w:vAlign w:val="center"/>
          </w:tcPr>
          <w:p w14:paraId="5617033C">
            <w:pPr>
              <w:widowControl/>
              <w:spacing w:line="400" w:lineRule="exact"/>
              <w:jc w:val="center"/>
              <w:rPr>
                <w:rFonts w:hint="eastAsia" w:ascii="仿宋_GB2312" w:eastAsia="仿宋_GB2312"/>
                <w:kern w:val="0"/>
                <w:sz w:val="24"/>
              </w:rPr>
            </w:pPr>
            <w:r>
              <w:rPr>
                <w:rFonts w:hint="eastAsia" w:ascii="仿宋_GB2312" w:eastAsia="仿宋_GB2312"/>
                <w:kern w:val="0"/>
                <w:sz w:val="24"/>
              </w:rPr>
              <w:t>平方米</w:t>
            </w:r>
          </w:p>
        </w:tc>
        <w:tc>
          <w:tcPr>
            <w:tcW w:w="1106" w:type="dxa"/>
            <w:tcBorders>
              <w:top w:val="nil"/>
              <w:left w:val="nil"/>
              <w:bottom w:val="single" w:color="auto" w:sz="4" w:space="0"/>
              <w:right w:val="single" w:color="auto" w:sz="4" w:space="0"/>
            </w:tcBorders>
            <w:shd w:val="clear" w:color="auto" w:fill="auto"/>
            <w:noWrap w:val="0"/>
            <w:vAlign w:val="center"/>
          </w:tcPr>
          <w:p w14:paraId="492C938D">
            <w:pPr>
              <w:widowControl/>
              <w:spacing w:line="400" w:lineRule="exact"/>
              <w:jc w:val="center"/>
              <w:rPr>
                <w:rFonts w:hint="eastAsia" w:ascii="仿宋_GB2312" w:eastAsia="仿宋_GB2312"/>
                <w:kern w:val="0"/>
                <w:sz w:val="24"/>
              </w:rPr>
            </w:pPr>
            <w:r>
              <w:rPr>
                <w:rFonts w:hint="eastAsia" w:ascii="仿宋_GB2312" w:eastAsia="仿宋_GB2312"/>
                <w:kern w:val="0"/>
                <w:sz w:val="24"/>
              </w:rPr>
              <w:t>11.7</w:t>
            </w:r>
          </w:p>
        </w:tc>
        <w:tc>
          <w:tcPr>
            <w:tcW w:w="1108" w:type="dxa"/>
            <w:tcBorders>
              <w:top w:val="nil"/>
              <w:left w:val="nil"/>
              <w:bottom w:val="single" w:color="auto" w:sz="4" w:space="0"/>
              <w:right w:val="single" w:color="auto" w:sz="4" w:space="0"/>
            </w:tcBorders>
            <w:shd w:val="clear" w:color="auto" w:fill="auto"/>
            <w:noWrap w:val="0"/>
            <w:vAlign w:val="center"/>
          </w:tcPr>
          <w:p w14:paraId="3F83A0F0">
            <w:pPr>
              <w:widowControl/>
              <w:spacing w:line="400" w:lineRule="exact"/>
              <w:jc w:val="center"/>
              <w:rPr>
                <w:rFonts w:hint="eastAsia" w:ascii="仿宋_GB2312" w:eastAsia="仿宋_GB2312"/>
                <w:kern w:val="0"/>
                <w:sz w:val="24"/>
              </w:rPr>
            </w:pPr>
            <w:r>
              <w:rPr>
                <w:rFonts w:hint="eastAsia" w:ascii="仿宋_GB2312" w:eastAsia="仿宋_GB2312"/>
                <w:kern w:val="0"/>
                <w:sz w:val="24"/>
              </w:rPr>
              <w:t>0.1</w:t>
            </w:r>
          </w:p>
        </w:tc>
        <w:tc>
          <w:tcPr>
            <w:tcW w:w="1106" w:type="dxa"/>
            <w:tcBorders>
              <w:top w:val="nil"/>
              <w:left w:val="nil"/>
              <w:bottom w:val="single" w:color="auto" w:sz="4" w:space="0"/>
              <w:right w:val="single" w:color="auto" w:sz="4" w:space="0"/>
            </w:tcBorders>
            <w:shd w:val="clear" w:color="auto" w:fill="auto"/>
            <w:noWrap w:val="0"/>
            <w:vAlign w:val="center"/>
          </w:tcPr>
          <w:p w14:paraId="25BEE26F">
            <w:pPr>
              <w:widowControl/>
              <w:spacing w:line="400" w:lineRule="exact"/>
              <w:jc w:val="center"/>
              <w:rPr>
                <w:rFonts w:hint="eastAsia" w:ascii="仿宋_GB2312" w:eastAsia="仿宋_GB2312"/>
                <w:kern w:val="0"/>
                <w:sz w:val="24"/>
              </w:rPr>
            </w:pPr>
            <w:r>
              <w:rPr>
                <w:rFonts w:hint="eastAsia" w:ascii="仿宋_GB2312" w:eastAsia="仿宋_GB2312"/>
                <w:kern w:val="0"/>
                <w:sz w:val="24"/>
              </w:rPr>
              <w:t>11.7</w:t>
            </w:r>
          </w:p>
        </w:tc>
        <w:tc>
          <w:tcPr>
            <w:tcW w:w="1108" w:type="dxa"/>
            <w:tcBorders>
              <w:top w:val="nil"/>
              <w:left w:val="nil"/>
              <w:bottom w:val="single" w:color="auto" w:sz="4" w:space="0"/>
              <w:right w:val="single" w:color="auto" w:sz="4" w:space="0"/>
            </w:tcBorders>
            <w:shd w:val="clear" w:color="auto" w:fill="auto"/>
            <w:noWrap w:val="0"/>
            <w:vAlign w:val="center"/>
          </w:tcPr>
          <w:p w14:paraId="39FE5A27">
            <w:pPr>
              <w:widowControl/>
              <w:spacing w:line="400" w:lineRule="exact"/>
              <w:jc w:val="center"/>
              <w:rPr>
                <w:rFonts w:hint="eastAsia" w:ascii="仿宋_GB2312" w:eastAsia="仿宋_GB2312"/>
                <w:kern w:val="0"/>
                <w:sz w:val="24"/>
              </w:rPr>
            </w:pPr>
            <w:r>
              <w:rPr>
                <w:rFonts w:hint="eastAsia" w:ascii="仿宋_GB2312" w:eastAsia="仿宋_GB2312"/>
                <w:kern w:val="0"/>
                <w:sz w:val="24"/>
              </w:rPr>
              <w:t>0.1</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59CE4331">
            <w:pPr>
              <w:widowControl/>
              <w:spacing w:line="400" w:lineRule="exact"/>
              <w:jc w:val="center"/>
              <w:rPr>
                <w:rFonts w:hint="eastAsia" w:ascii="仿宋_GB2312" w:eastAsia="仿宋_GB2312"/>
                <w:kern w:val="0"/>
                <w:sz w:val="24"/>
              </w:rPr>
            </w:pPr>
            <w:r>
              <w:rPr>
                <w:rFonts w:hint="eastAsia" w:ascii="仿宋_GB2312" w:eastAsia="仿宋_GB2312"/>
                <w:kern w:val="0"/>
                <w:sz w:val="24"/>
              </w:rPr>
              <w:t>约束性</w:t>
            </w:r>
          </w:p>
        </w:tc>
      </w:tr>
      <w:tr w14:paraId="0704A5E2">
        <w:tblPrEx>
          <w:tblCellMar>
            <w:top w:w="0" w:type="dxa"/>
            <w:left w:w="108" w:type="dxa"/>
            <w:bottom w:w="0" w:type="dxa"/>
            <w:right w:w="108" w:type="dxa"/>
          </w:tblCellMar>
        </w:tblPrEx>
        <w:trPr>
          <w:wBefore w:w="0" w:type="dxa"/>
          <w:wAfter w:w="0" w:type="dxa"/>
          <w:trHeight w:val="307" w:hRule="atLeast"/>
          <w:jc w:val="center"/>
        </w:trPr>
        <w:tc>
          <w:tcPr>
            <w:tcW w:w="496" w:type="dxa"/>
            <w:vMerge w:val="continue"/>
            <w:tcBorders>
              <w:left w:val="single" w:color="auto" w:sz="4" w:space="0"/>
              <w:right w:val="single" w:color="auto" w:sz="4" w:space="0"/>
            </w:tcBorders>
            <w:shd w:val="clear" w:color="auto" w:fill="auto"/>
            <w:noWrap w:val="0"/>
            <w:vAlign w:val="top"/>
          </w:tcPr>
          <w:p w14:paraId="2BCB9B24">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53DAD6D8">
            <w:pPr>
              <w:widowControl/>
              <w:spacing w:line="400" w:lineRule="exact"/>
              <w:rPr>
                <w:rFonts w:hint="eastAsia" w:ascii="仿宋_GB2312" w:eastAsia="仿宋_GB2312"/>
                <w:kern w:val="0"/>
                <w:sz w:val="24"/>
              </w:rPr>
            </w:pPr>
            <w:r>
              <w:rPr>
                <w:rFonts w:hint="eastAsia" w:ascii="仿宋_GB2312" w:eastAsia="仿宋_GB2312"/>
                <w:kern w:val="0"/>
                <w:sz w:val="24"/>
              </w:rPr>
              <w:t>21、垃圾密闭式收集率</w:t>
            </w:r>
          </w:p>
        </w:tc>
        <w:tc>
          <w:tcPr>
            <w:tcW w:w="820" w:type="dxa"/>
            <w:tcBorders>
              <w:top w:val="nil"/>
              <w:left w:val="nil"/>
              <w:bottom w:val="single" w:color="auto" w:sz="4" w:space="0"/>
              <w:right w:val="single" w:color="auto" w:sz="4" w:space="0"/>
            </w:tcBorders>
            <w:shd w:val="clear" w:color="auto" w:fill="auto"/>
            <w:noWrap w:val="0"/>
            <w:vAlign w:val="center"/>
          </w:tcPr>
          <w:p w14:paraId="52BB362A">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8A0124E">
            <w:pPr>
              <w:widowControl/>
              <w:spacing w:line="400" w:lineRule="exact"/>
              <w:jc w:val="center"/>
              <w:rPr>
                <w:rFonts w:hint="eastAsia" w:ascii="仿宋_GB2312" w:eastAsia="仿宋_GB2312"/>
                <w:kern w:val="0"/>
                <w:sz w:val="24"/>
              </w:rPr>
            </w:pPr>
            <w:r>
              <w:rPr>
                <w:rFonts w:hint="eastAsia" w:ascii="仿宋_GB2312" w:eastAsia="仿宋_GB2312"/>
                <w:kern w:val="0"/>
                <w:sz w:val="24"/>
              </w:rPr>
              <w:t>100</w:t>
            </w:r>
          </w:p>
        </w:tc>
        <w:tc>
          <w:tcPr>
            <w:tcW w:w="1108" w:type="dxa"/>
            <w:tcBorders>
              <w:top w:val="nil"/>
              <w:left w:val="nil"/>
              <w:bottom w:val="single" w:color="auto" w:sz="4" w:space="0"/>
              <w:right w:val="single" w:color="auto" w:sz="4" w:space="0"/>
            </w:tcBorders>
            <w:shd w:val="clear" w:color="auto" w:fill="auto"/>
            <w:noWrap w:val="0"/>
            <w:vAlign w:val="center"/>
          </w:tcPr>
          <w:p w14:paraId="2706182F">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1280C239">
            <w:pPr>
              <w:widowControl/>
              <w:spacing w:line="400" w:lineRule="exact"/>
              <w:jc w:val="center"/>
              <w:rPr>
                <w:rFonts w:hint="eastAsia" w:ascii="仿宋_GB2312" w:eastAsia="仿宋_GB2312"/>
                <w:kern w:val="0"/>
                <w:sz w:val="24"/>
              </w:rPr>
            </w:pPr>
            <w:r>
              <w:rPr>
                <w:rFonts w:hint="eastAsia" w:ascii="仿宋_GB2312" w:eastAsia="仿宋_GB2312"/>
                <w:kern w:val="0"/>
                <w:sz w:val="24"/>
              </w:rPr>
              <w:t>100</w:t>
            </w:r>
          </w:p>
        </w:tc>
        <w:tc>
          <w:tcPr>
            <w:tcW w:w="1108" w:type="dxa"/>
            <w:tcBorders>
              <w:top w:val="nil"/>
              <w:left w:val="nil"/>
              <w:bottom w:val="single" w:color="auto" w:sz="4" w:space="0"/>
              <w:right w:val="single" w:color="auto" w:sz="4" w:space="0"/>
            </w:tcBorders>
            <w:shd w:val="clear" w:color="auto" w:fill="auto"/>
            <w:noWrap w:val="0"/>
            <w:vAlign w:val="center"/>
          </w:tcPr>
          <w:p w14:paraId="3CF3DD56">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55573C5C">
            <w:pPr>
              <w:widowControl/>
              <w:spacing w:line="400" w:lineRule="exact"/>
              <w:jc w:val="center"/>
              <w:rPr>
                <w:rFonts w:hint="eastAsia" w:ascii="仿宋_GB2312" w:eastAsia="仿宋_GB2312"/>
                <w:kern w:val="0"/>
                <w:sz w:val="24"/>
              </w:rPr>
            </w:pPr>
            <w:r>
              <w:rPr>
                <w:rFonts w:hint="eastAsia" w:ascii="仿宋_GB2312" w:eastAsia="仿宋_GB2312"/>
                <w:kern w:val="0"/>
                <w:sz w:val="24"/>
              </w:rPr>
              <w:t xml:space="preserve">约束性 </w:t>
            </w:r>
          </w:p>
        </w:tc>
      </w:tr>
      <w:tr w14:paraId="293B22E7">
        <w:tblPrEx>
          <w:tblCellMar>
            <w:top w:w="0" w:type="dxa"/>
            <w:left w:w="108" w:type="dxa"/>
            <w:bottom w:w="0" w:type="dxa"/>
            <w:right w:w="108" w:type="dxa"/>
          </w:tblCellMar>
        </w:tblPrEx>
        <w:trPr>
          <w:wBefore w:w="0" w:type="dxa"/>
          <w:wAfter w:w="0" w:type="dxa"/>
          <w:trHeight w:val="296" w:hRule="atLeast"/>
          <w:jc w:val="center"/>
        </w:trPr>
        <w:tc>
          <w:tcPr>
            <w:tcW w:w="496" w:type="dxa"/>
            <w:vMerge w:val="continue"/>
            <w:tcBorders>
              <w:left w:val="single" w:color="auto" w:sz="4" w:space="0"/>
              <w:right w:val="single" w:color="auto" w:sz="4" w:space="0"/>
            </w:tcBorders>
            <w:shd w:val="clear" w:color="auto" w:fill="auto"/>
            <w:noWrap w:val="0"/>
            <w:vAlign w:val="top"/>
          </w:tcPr>
          <w:p w14:paraId="1F2FEB76">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3D0F15CB">
            <w:pPr>
              <w:widowControl/>
              <w:spacing w:line="400" w:lineRule="exact"/>
              <w:rPr>
                <w:rFonts w:hint="eastAsia" w:ascii="仿宋_GB2312" w:eastAsia="仿宋_GB2312"/>
                <w:kern w:val="0"/>
                <w:sz w:val="24"/>
              </w:rPr>
            </w:pPr>
            <w:r>
              <w:rPr>
                <w:rFonts w:hint="eastAsia" w:ascii="仿宋_GB2312" w:eastAsia="仿宋_GB2312"/>
                <w:kern w:val="0"/>
                <w:sz w:val="24"/>
              </w:rPr>
              <w:t>22、城区集中供热率</w:t>
            </w:r>
          </w:p>
        </w:tc>
        <w:tc>
          <w:tcPr>
            <w:tcW w:w="820" w:type="dxa"/>
            <w:tcBorders>
              <w:top w:val="nil"/>
              <w:left w:val="nil"/>
              <w:bottom w:val="single" w:color="auto" w:sz="4" w:space="0"/>
              <w:right w:val="single" w:color="auto" w:sz="4" w:space="0"/>
            </w:tcBorders>
            <w:shd w:val="clear" w:color="auto" w:fill="auto"/>
            <w:noWrap w:val="0"/>
            <w:vAlign w:val="center"/>
          </w:tcPr>
          <w:p w14:paraId="1BB04A70">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41821E93">
            <w:pPr>
              <w:widowControl/>
              <w:spacing w:line="400" w:lineRule="exact"/>
              <w:jc w:val="center"/>
              <w:rPr>
                <w:rFonts w:hint="eastAsia" w:ascii="仿宋_GB2312" w:eastAsia="仿宋_GB2312"/>
                <w:kern w:val="0"/>
                <w:sz w:val="24"/>
              </w:rPr>
            </w:pPr>
            <w:r>
              <w:rPr>
                <w:rFonts w:hint="eastAsia" w:ascii="仿宋_GB2312" w:eastAsia="仿宋_GB2312"/>
                <w:kern w:val="0"/>
                <w:sz w:val="24"/>
              </w:rPr>
              <w:t>99</w:t>
            </w:r>
          </w:p>
        </w:tc>
        <w:tc>
          <w:tcPr>
            <w:tcW w:w="1108" w:type="dxa"/>
            <w:tcBorders>
              <w:top w:val="nil"/>
              <w:left w:val="nil"/>
              <w:bottom w:val="single" w:color="auto" w:sz="4" w:space="0"/>
              <w:right w:val="single" w:color="auto" w:sz="4" w:space="0"/>
            </w:tcBorders>
            <w:shd w:val="clear" w:color="auto" w:fill="auto"/>
            <w:noWrap w:val="0"/>
            <w:vAlign w:val="center"/>
          </w:tcPr>
          <w:p w14:paraId="76E31C95">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9559786">
            <w:pPr>
              <w:widowControl/>
              <w:spacing w:line="400" w:lineRule="exact"/>
              <w:jc w:val="center"/>
              <w:rPr>
                <w:rFonts w:hint="eastAsia" w:ascii="仿宋_GB2312" w:eastAsia="仿宋_GB2312"/>
                <w:kern w:val="0"/>
                <w:sz w:val="24"/>
              </w:rPr>
            </w:pPr>
            <w:r>
              <w:rPr>
                <w:rFonts w:hint="eastAsia" w:ascii="仿宋_GB2312" w:eastAsia="仿宋_GB2312"/>
                <w:kern w:val="0"/>
                <w:sz w:val="24"/>
              </w:rPr>
              <w:t>99</w:t>
            </w:r>
          </w:p>
        </w:tc>
        <w:tc>
          <w:tcPr>
            <w:tcW w:w="1108" w:type="dxa"/>
            <w:tcBorders>
              <w:top w:val="nil"/>
              <w:left w:val="nil"/>
              <w:bottom w:val="single" w:color="auto" w:sz="4" w:space="0"/>
              <w:right w:val="single" w:color="auto" w:sz="4" w:space="0"/>
            </w:tcBorders>
            <w:shd w:val="clear" w:color="auto" w:fill="auto"/>
            <w:noWrap w:val="0"/>
            <w:vAlign w:val="center"/>
          </w:tcPr>
          <w:p w14:paraId="3E713314">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42A6701D">
            <w:pPr>
              <w:widowControl/>
              <w:spacing w:line="400" w:lineRule="exact"/>
              <w:jc w:val="center"/>
              <w:rPr>
                <w:rFonts w:hint="eastAsia" w:ascii="仿宋_GB2312" w:eastAsia="仿宋_GB2312"/>
                <w:kern w:val="0"/>
                <w:sz w:val="24"/>
              </w:rPr>
            </w:pPr>
            <w:r>
              <w:rPr>
                <w:rFonts w:hint="eastAsia" w:ascii="仿宋_GB2312" w:eastAsia="仿宋_GB2312"/>
                <w:kern w:val="0"/>
                <w:sz w:val="24"/>
              </w:rPr>
              <w:t>约束性</w:t>
            </w:r>
          </w:p>
        </w:tc>
      </w:tr>
      <w:tr w14:paraId="40663BED">
        <w:tblPrEx>
          <w:tblCellMar>
            <w:top w:w="0" w:type="dxa"/>
            <w:left w:w="108" w:type="dxa"/>
            <w:bottom w:w="0" w:type="dxa"/>
            <w:right w:w="108" w:type="dxa"/>
          </w:tblCellMar>
        </w:tblPrEx>
        <w:trPr>
          <w:wBefore w:w="0" w:type="dxa"/>
          <w:wAfter w:w="0" w:type="dxa"/>
          <w:trHeight w:val="300" w:hRule="atLeast"/>
          <w:jc w:val="center"/>
        </w:trPr>
        <w:tc>
          <w:tcPr>
            <w:tcW w:w="496" w:type="dxa"/>
            <w:vMerge w:val="continue"/>
            <w:tcBorders>
              <w:left w:val="single" w:color="auto" w:sz="4" w:space="0"/>
              <w:bottom w:val="single" w:color="auto" w:sz="4" w:space="0"/>
              <w:right w:val="single" w:color="auto" w:sz="4" w:space="0"/>
            </w:tcBorders>
            <w:shd w:val="clear" w:color="auto" w:fill="auto"/>
            <w:noWrap w:val="0"/>
            <w:vAlign w:val="top"/>
          </w:tcPr>
          <w:p w14:paraId="1B79E5B5">
            <w:pPr>
              <w:widowControl/>
              <w:spacing w:line="400" w:lineRule="exact"/>
              <w:jc w:val="left"/>
              <w:rPr>
                <w:rFonts w:hint="eastAsia" w:ascii="仿宋_GB2312" w:eastAsia="仿宋_GB2312"/>
                <w:kern w:val="0"/>
                <w:sz w:val="24"/>
              </w:rPr>
            </w:pPr>
          </w:p>
        </w:tc>
        <w:tc>
          <w:tcPr>
            <w:tcW w:w="3063" w:type="dxa"/>
            <w:tcBorders>
              <w:top w:val="single" w:color="auto" w:sz="4" w:space="0"/>
              <w:left w:val="nil"/>
              <w:bottom w:val="single" w:color="auto" w:sz="4" w:space="0"/>
              <w:right w:val="single" w:color="auto" w:sz="4" w:space="0"/>
            </w:tcBorders>
            <w:shd w:val="clear" w:color="auto" w:fill="auto"/>
            <w:noWrap w:val="0"/>
            <w:vAlign w:val="center"/>
          </w:tcPr>
          <w:p w14:paraId="53F65962">
            <w:pPr>
              <w:widowControl/>
              <w:spacing w:line="400" w:lineRule="exact"/>
              <w:rPr>
                <w:rFonts w:hint="eastAsia" w:ascii="仿宋_GB2312" w:eastAsia="仿宋_GB2312"/>
                <w:kern w:val="0"/>
                <w:sz w:val="24"/>
              </w:rPr>
            </w:pPr>
            <w:r>
              <w:rPr>
                <w:rFonts w:hint="eastAsia" w:ascii="仿宋_GB2312" w:eastAsia="仿宋_GB2312"/>
                <w:kern w:val="0"/>
                <w:sz w:val="24"/>
              </w:rPr>
              <w:t>23、安全生产事故</w:t>
            </w:r>
          </w:p>
        </w:tc>
        <w:tc>
          <w:tcPr>
            <w:tcW w:w="820" w:type="dxa"/>
            <w:tcBorders>
              <w:top w:val="nil"/>
              <w:left w:val="nil"/>
              <w:bottom w:val="single" w:color="auto" w:sz="4" w:space="0"/>
              <w:right w:val="single" w:color="auto" w:sz="4" w:space="0"/>
            </w:tcBorders>
            <w:shd w:val="clear" w:color="auto" w:fill="auto"/>
            <w:noWrap w:val="0"/>
            <w:vAlign w:val="center"/>
          </w:tcPr>
          <w:p w14:paraId="617DC743">
            <w:pPr>
              <w:widowControl/>
              <w:spacing w:line="400" w:lineRule="exact"/>
              <w:jc w:val="center"/>
              <w:rPr>
                <w:rFonts w:hint="eastAsia" w:ascii="仿宋_GB2312" w:eastAsia="仿宋_GB2312"/>
                <w:kern w:val="0"/>
                <w:sz w:val="24"/>
              </w:rPr>
            </w:pPr>
            <w:r>
              <w:rPr>
                <w:rFonts w:hint="eastAsia" w:ascii="仿宋_GB2312" w:eastAsia="仿宋_GB2312"/>
                <w:kern w:val="0"/>
                <w:sz w:val="24"/>
              </w:rPr>
              <w:t>人</w:t>
            </w:r>
          </w:p>
        </w:tc>
        <w:tc>
          <w:tcPr>
            <w:tcW w:w="1106" w:type="dxa"/>
            <w:tcBorders>
              <w:top w:val="nil"/>
              <w:left w:val="nil"/>
              <w:bottom w:val="single" w:color="auto" w:sz="4" w:space="0"/>
              <w:right w:val="single" w:color="auto" w:sz="4" w:space="0"/>
            </w:tcBorders>
            <w:shd w:val="clear" w:color="auto" w:fill="auto"/>
            <w:noWrap w:val="0"/>
            <w:vAlign w:val="center"/>
          </w:tcPr>
          <w:p w14:paraId="33100414">
            <w:pPr>
              <w:widowControl/>
              <w:spacing w:line="400" w:lineRule="exact"/>
              <w:jc w:val="center"/>
              <w:rPr>
                <w:rFonts w:hint="eastAsia" w:ascii="仿宋_GB2312" w:eastAsia="仿宋_GB2312"/>
                <w:kern w:val="0"/>
                <w:sz w:val="24"/>
              </w:rPr>
            </w:pPr>
            <w:r>
              <w:rPr>
                <w:rFonts w:hint="eastAsia" w:ascii="仿宋_GB2312" w:eastAsia="仿宋_GB2312"/>
                <w:kern w:val="0"/>
                <w:sz w:val="24"/>
              </w:rPr>
              <w:t>≤2</w:t>
            </w:r>
          </w:p>
        </w:tc>
        <w:tc>
          <w:tcPr>
            <w:tcW w:w="1108" w:type="dxa"/>
            <w:tcBorders>
              <w:top w:val="nil"/>
              <w:left w:val="nil"/>
              <w:bottom w:val="single" w:color="auto" w:sz="4" w:space="0"/>
              <w:right w:val="single" w:color="auto" w:sz="4" w:space="0"/>
            </w:tcBorders>
            <w:shd w:val="clear" w:color="auto" w:fill="auto"/>
            <w:noWrap w:val="0"/>
            <w:vAlign w:val="center"/>
          </w:tcPr>
          <w:p w14:paraId="4137824C">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06" w:type="dxa"/>
            <w:tcBorders>
              <w:top w:val="nil"/>
              <w:left w:val="nil"/>
              <w:bottom w:val="single" w:color="auto" w:sz="4" w:space="0"/>
              <w:right w:val="single" w:color="auto" w:sz="4" w:space="0"/>
            </w:tcBorders>
            <w:shd w:val="clear" w:color="auto" w:fill="auto"/>
            <w:noWrap w:val="0"/>
            <w:vAlign w:val="center"/>
          </w:tcPr>
          <w:p w14:paraId="2475445C">
            <w:pPr>
              <w:widowControl/>
              <w:spacing w:line="400" w:lineRule="exact"/>
              <w:jc w:val="center"/>
              <w:rPr>
                <w:rFonts w:hint="eastAsia" w:ascii="仿宋_GB2312" w:eastAsia="仿宋_GB2312"/>
                <w:kern w:val="0"/>
                <w:sz w:val="24"/>
              </w:rPr>
            </w:pPr>
            <w:r>
              <w:rPr>
                <w:rFonts w:hint="eastAsia" w:ascii="仿宋_GB2312" w:eastAsia="仿宋_GB2312"/>
                <w:kern w:val="0"/>
                <w:sz w:val="24"/>
              </w:rPr>
              <w:t>0</w:t>
            </w:r>
          </w:p>
        </w:tc>
        <w:tc>
          <w:tcPr>
            <w:tcW w:w="1108" w:type="dxa"/>
            <w:tcBorders>
              <w:top w:val="nil"/>
              <w:left w:val="nil"/>
              <w:bottom w:val="single" w:color="auto" w:sz="4" w:space="0"/>
              <w:right w:val="single" w:color="auto" w:sz="4" w:space="0"/>
            </w:tcBorders>
            <w:shd w:val="clear" w:color="auto" w:fill="auto"/>
            <w:noWrap w:val="0"/>
            <w:vAlign w:val="center"/>
          </w:tcPr>
          <w:p w14:paraId="5BDEC148">
            <w:pPr>
              <w:widowControl/>
              <w:spacing w:line="400" w:lineRule="exact"/>
              <w:jc w:val="center"/>
              <w:rPr>
                <w:rFonts w:hint="eastAsia" w:ascii="仿宋_GB2312" w:eastAsia="仿宋_GB2312"/>
                <w:kern w:val="0"/>
                <w:sz w:val="24"/>
              </w:rPr>
            </w:pPr>
            <w:r>
              <w:rPr>
                <w:rFonts w:hint="eastAsia" w:ascii="仿宋_GB2312" w:eastAsia="仿宋_GB2312"/>
                <w:kern w:val="0"/>
                <w:sz w:val="24"/>
              </w:rPr>
              <w:t>—</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246DDC4C">
            <w:pPr>
              <w:widowControl/>
              <w:spacing w:line="400" w:lineRule="exact"/>
              <w:jc w:val="center"/>
              <w:rPr>
                <w:rFonts w:hint="eastAsia" w:ascii="仿宋_GB2312" w:eastAsia="仿宋_GB2312"/>
                <w:kern w:val="0"/>
                <w:sz w:val="24"/>
              </w:rPr>
            </w:pPr>
            <w:r>
              <w:rPr>
                <w:rFonts w:hint="eastAsia" w:ascii="仿宋_GB2312" w:eastAsia="仿宋_GB2312"/>
                <w:kern w:val="0"/>
                <w:sz w:val="24"/>
              </w:rPr>
              <w:t>约束性</w:t>
            </w:r>
          </w:p>
        </w:tc>
      </w:tr>
    </w:tbl>
    <w:p w14:paraId="7B506587">
      <w:pPr>
        <w:spacing w:before="156" w:beforeLines="50"/>
        <w:rPr>
          <w:rFonts w:hint="eastAsia" w:ascii="仿宋_GB2312" w:eastAsia="仿宋_GB2312"/>
          <w:kern w:val="0"/>
          <w:sz w:val="24"/>
        </w:rPr>
      </w:pPr>
      <w:r>
        <w:rPr>
          <w:rFonts w:hint="eastAsia" w:ascii="仿宋_GB2312" w:eastAsia="仿宋_GB2312"/>
          <w:kern w:val="0"/>
          <w:sz w:val="24"/>
        </w:rPr>
        <w:t>注：1、地方财政收入：2013年7月，土地增值税征收范围调整。</w:t>
      </w:r>
    </w:p>
    <w:p w14:paraId="255135E7">
      <w:pPr>
        <w:ind w:firstLine="480" w:firstLineChars="200"/>
        <w:rPr>
          <w:rFonts w:hint="eastAsia" w:ascii="仿宋_GB2312" w:eastAsia="仿宋_GB2312"/>
          <w:kern w:val="0"/>
          <w:sz w:val="24"/>
        </w:rPr>
      </w:pPr>
      <w:r>
        <w:rPr>
          <w:rFonts w:hint="eastAsia" w:ascii="仿宋_GB2312" w:eastAsia="仿宋_GB2312"/>
          <w:kern w:val="0"/>
          <w:sz w:val="24"/>
        </w:rPr>
        <w:t xml:space="preserve">2、实际利用外资：2011-2014年累计完成13.3亿美元，2015年起该指标调整为外商直接投资。 </w:t>
      </w:r>
    </w:p>
    <w:p w14:paraId="0D4ED5EE">
      <w:pPr>
        <w:adjustRightInd w:val="0"/>
        <w:spacing w:after="156" w:afterLines="50"/>
        <w:ind w:left="-281" w:leftChars="-134" w:firstLine="300" w:firstLineChars="150"/>
        <w:rPr>
          <w:rFonts w:ascii="黑体" w:hAnsi="黑体" w:eastAsia="黑体"/>
          <w:sz w:val="34"/>
          <w:szCs w:val="34"/>
        </w:rPr>
      </w:pPr>
      <w:r>
        <w:rPr>
          <w:rFonts w:eastAsia="仿宋_GB2312"/>
          <w:kern w:val="0"/>
          <w:sz w:val="20"/>
          <w:szCs w:val="20"/>
        </w:rPr>
        <w:br w:type="page"/>
      </w:r>
      <w:r>
        <w:rPr>
          <w:rFonts w:ascii="黑体" w:hAnsi="黑体" w:eastAsia="黑体"/>
          <w:sz w:val="34"/>
          <w:szCs w:val="34"/>
        </w:rPr>
        <w:t>附件2:</w:t>
      </w:r>
    </w:p>
    <w:p w14:paraId="3BDC521E">
      <w:pPr>
        <w:jc w:val="center"/>
        <w:rPr>
          <w:rFonts w:hint="eastAsia" w:ascii="方正小标宋简体" w:eastAsia="方正小标宋简体"/>
          <w:sz w:val="44"/>
          <w:szCs w:val="44"/>
        </w:rPr>
      </w:pPr>
      <w:r>
        <w:rPr>
          <w:rFonts w:hint="eastAsia" w:ascii="方正小标宋简体" w:eastAsia="方正小标宋简体"/>
          <w:sz w:val="44"/>
          <w:szCs w:val="44"/>
        </w:rPr>
        <w:t>西岗区“十三五”时期经济社会发展主要目标</w:t>
      </w:r>
    </w:p>
    <w:tbl>
      <w:tblPr>
        <w:tblStyle w:val="17"/>
        <w:tblW w:w="9715" w:type="dxa"/>
        <w:jc w:val="center"/>
        <w:tblLayout w:type="autofit"/>
        <w:tblCellMar>
          <w:top w:w="0" w:type="dxa"/>
          <w:left w:w="108" w:type="dxa"/>
          <w:bottom w:w="0" w:type="dxa"/>
          <w:right w:w="108" w:type="dxa"/>
        </w:tblCellMar>
      </w:tblPr>
      <w:tblGrid>
        <w:gridCol w:w="496"/>
        <w:gridCol w:w="496"/>
        <w:gridCol w:w="2979"/>
        <w:gridCol w:w="868"/>
        <w:gridCol w:w="1357"/>
        <w:gridCol w:w="1080"/>
        <w:gridCol w:w="1440"/>
        <w:gridCol w:w="999"/>
      </w:tblGrid>
      <w:tr w14:paraId="45F0EF13">
        <w:tblPrEx>
          <w:tblCellMar>
            <w:top w:w="0" w:type="dxa"/>
            <w:left w:w="108" w:type="dxa"/>
            <w:bottom w:w="0" w:type="dxa"/>
            <w:right w:w="108" w:type="dxa"/>
          </w:tblCellMar>
        </w:tblPrEx>
        <w:trPr>
          <w:wBefore w:w="0" w:type="dxa"/>
          <w:wAfter w:w="0" w:type="dxa"/>
          <w:trHeight w:val="428" w:hRule="exact"/>
          <w:jc w:val="center"/>
        </w:trPr>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66AD9127">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分类</w:t>
            </w:r>
          </w:p>
        </w:tc>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7F079A56">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序号</w:t>
            </w:r>
          </w:p>
        </w:tc>
        <w:tc>
          <w:tcPr>
            <w:tcW w:w="2979" w:type="dxa"/>
            <w:vMerge w:val="restart"/>
            <w:tcBorders>
              <w:top w:val="single" w:color="000000" w:sz="4" w:space="0"/>
              <w:left w:val="single" w:color="000000" w:sz="4" w:space="0"/>
              <w:bottom w:val="single" w:color="000000" w:sz="4" w:space="0"/>
              <w:right w:val="single" w:color="000000" w:sz="4" w:space="0"/>
            </w:tcBorders>
            <w:noWrap w:val="0"/>
            <w:vAlign w:val="center"/>
          </w:tcPr>
          <w:p w14:paraId="3EB108E9">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指标名称</w:t>
            </w:r>
          </w:p>
        </w:tc>
        <w:tc>
          <w:tcPr>
            <w:tcW w:w="868" w:type="dxa"/>
            <w:vMerge w:val="restart"/>
            <w:tcBorders>
              <w:top w:val="single" w:color="000000" w:sz="4" w:space="0"/>
              <w:left w:val="single" w:color="000000" w:sz="4" w:space="0"/>
              <w:bottom w:val="single" w:color="000000" w:sz="4" w:space="0"/>
              <w:right w:val="single" w:color="000000" w:sz="4" w:space="0"/>
            </w:tcBorders>
            <w:noWrap w:val="0"/>
            <w:vAlign w:val="center"/>
          </w:tcPr>
          <w:p w14:paraId="6D66DC91">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单位</w:t>
            </w:r>
          </w:p>
        </w:tc>
        <w:tc>
          <w:tcPr>
            <w:tcW w:w="1357" w:type="dxa"/>
            <w:vMerge w:val="restart"/>
            <w:tcBorders>
              <w:top w:val="single" w:color="000000" w:sz="4" w:space="0"/>
              <w:left w:val="single" w:color="000000" w:sz="4" w:space="0"/>
              <w:bottom w:val="single" w:color="000000" w:sz="4" w:space="0"/>
              <w:right w:val="single" w:color="000000" w:sz="4" w:space="0"/>
            </w:tcBorders>
            <w:noWrap w:val="0"/>
            <w:vAlign w:val="center"/>
          </w:tcPr>
          <w:p w14:paraId="7B4CC978">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2015年</w:t>
            </w:r>
          </w:p>
          <w:p w14:paraId="09FBF1A7">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预计完成</w:t>
            </w:r>
          </w:p>
        </w:tc>
        <w:tc>
          <w:tcPr>
            <w:tcW w:w="2520" w:type="dxa"/>
            <w:gridSpan w:val="2"/>
            <w:tcBorders>
              <w:top w:val="single" w:color="000000" w:sz="4" w:space="0"/>
              <w:left w:val="nil"/>
              <w:bottom w:val="single" w:color="000000" w:sz="4" w:space="0"/>
              <w:right w:val="single" w:color="000000" w:sz="4" w:space="0"/>
            </w:tcBorders>
            <w:noWrap w:val="0"/>
            <w:vAlign w:val="center"/>
          </w:tcPr>
          <w:p w14:paraId="69D26368">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2020年</w:t>
            </w:r>
          </w:p>
        </w:tc>
        <w:tc>
          <w:tcPr>
            <w:tcW w:w="999" w:type="dxa"/>
            <w:tcBorders>
              <w:top w:val="single" w:color="000000" w:sz="4" w:space="0"/>
              <w:left w:val="nil"/>
              <w:bottom w:val="nil"/>
              <w:right w:val="single" w:color="000000" w:sz="4" w:space="0"/>
            </w:tcBorders>
            <w:noWrap w:val="0"/>
            <w:vAlign w:val="center"/>
          </w:tcPr>
          <w:p w14:paraId="7079D18F">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指标</w:t>
            </w:r>
          </w:p>
        </w:tc>
      </w:tr>
      <w:tr w14:paraId="47638B7B">
        <w:tblPrEx>
          <w:tblCellMar>
            <w:top w:w="0" w:type="dxa"/>
            <w:left w:w="108" w:type="dxa"/>
            <w:bottom w:w="0" w:type="dxa"/>
            <w:right w:w="108" w:type="dxa"/>
          </w:tblCellMar>
        </w:tblPrEx>
        <w:trPr>
          <w:wBefore w:w="0" w:type="dxa"/>
          <w:wAfter w:w="0" w:type="dxa"/>
          <w:trHeight w:val="970" w:hRule="exact"/>
          <w:jc w:val="center"/>
        </w:trPr>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1F3B25">
            <w:pPr>
              <w:widowControl/>
              <w:spacing w:line="400" w:lineRule="exact"/>
              <w:jc w:val="left"/>
              <w:rPr>
                <w:rFonts w:ascii="黑体" w:hAnsi="黑体" w:eastAsia="黑体"/>
                <w:bCs/>
                <w:kern w:val="0"/>
                <w:sz w:val="28"/>
                <w:szCs w:val="28"/>
              </w:rPr>
            </w:pP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CD3926">
            <w:pPr>
              <w:widowControl/>
              <w:spacing w:line="400" w:lineRule="exact"/>
              <w:jc w:val="left"/>
              <w:rPr>
                <w:rFonts w:ascii="黑体" w:hAnsi="黑体" w:eastAsia="黑体"/>
                <w:bCs/>
                <w:kern w:val="0"/>
                <w:sz w:val="28"/>
                <w:szCs w:val="28"/>
              </w:rPr>
            </w:pPr>
          </w:p>
        </w:tc>
        <w:tc>
          <w:tcPr>
            <w:tcW w:w="297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6EC49">
            <w:pPr>
              <w:widowControl/>
              <w:spacing w:line="400" w:lineRule="exact"/>
              <w:jc w:val="left"/>
              <w:rPr>
                <w:rFonts w:ascii="黑体" w:hAnsi="黑体" w:eastAsia="黑体"/>
                <w:bCs/>
                <w:kern w:val="0"/>
                <w:sz w:val="28"/>
                <w:szCs w:val="28"/>
              </w:rPr>
            </w:pPr>
          </w:p>
        </w:tc>
        <w:tc>
          <w:tcPr>
            <w:tcW w:w="86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E8AEE">
            <w:pPr>
              <w:widowControl/>
              <w:spacing w:line="400" w:lineRule="exact"/>
              <w:jc w:val="left"/>
              <w:rPr>
                <w:rFonts w:ascii="黑体" w:hAnsi="黑体" w:eastAsia="黑体"/>
                <w:bCs/>
                <w:kern w:val="0"/>
                <w:sz w:val="28"/>
                <w:szCs w:val="28"/>
              </w:rPr>
            </w:pPr>
          </w:p>
        </w:tc>
        <w:tc>
          <w:tcPr>
            <w:tcW w:w="13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65ACAE">
            <w:pPr>
              <w:widowControl/>
              <w:spacing w:line="400" w:lineRule="exact"/>
              <w:jc w:val="left"/>
              <w:rPr>
                <w:rFonts w:ascii="黑体" w:hAnsi="黑体" w:eastAsia="黑体"/>
                <w:bCs/>
                <w:kern w:val="0"/>
                <w:sz w:val="28"/>
                <w:szCs w:val="28"/>
              </w:rPr>
            </w:pPr>
          </w:p>
        </w:tc>
        <w:tc>
          <w:tcPr>
            <w:tcW w:w="1080" w:type="dxa"/>
            <w:tcBorders>
              <w:top w:val="nil"/>
              <w:left w:val="nil"/>
              <w:bottom w:val="single" w:color="000000" w:sz="4" w:space="0"/>
              <w:right w:val="single" w:color="000000" w:sz="4" w:space="0"/>
            </w:tcBorders>
            <w:noWrap w:val="0"/>
            <w:vAlign w:val="center"/>
          </w:tcPr>
          <w:p w14:paraId="341F17B6">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绝对量</w:t>
            </w:r>
          </w:p>
        </w:tc>
        <w:tc>
          <w:tcPr>
            <w:tcW w:w="1440" w:type="dxa"/>
            <w:tcBorders>
              <w:top w:val="nil"/>
              <w:left w:val="nil"/>
              <w:bottom w:val="single" w:color="000000" w:sz="4" w:space="0"/>
              <w:right w:val="single" w:color="000000" w:sz="4" w:space="0"/>
            </w:tcBorders>
            <w:noWrap w:val="0"/>
            <w:vAlign w:val="center"/>
          </w:tcPr>
          <w:p w14:paraId="7E7D8038">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年均增长</w:t>
            </w:r>
          </w:p>
          <w:p w14:paraId="44354F9A">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w:t>
            </w:r>
          </w:p>
        </w:tc>
        <w:tc>
          <w:tcPr>
            <w:tcW w:w="999" w:type="dxa"/>
            <w:tcBorders>
              <w:top w:val="nil"/>
              <w:left w:val="nil"/>
              <w:bottom w:val="single" w:color="000000" w:sz="4" w:space="0"/>
              <w:right w:val="single" w:color="000000" w:sz="4" w:space="0"/>
            </w:tcBorders>
            <w:noWrap w:val="0"/>
            <w:vAlign w:val="center"/>
          </w:tcPr>
          <w:p w14:paraId="287869EE">
            <w:pPr>
              <w:widowControl/>
              <w:spacing w:line="400" w:lineRule="exact"/>
              <w:jc w:val="center"/>
              <w:rPr>
                <w:rFonts w:ascii="黑体" w:hAnsi="黑体" w:eastAsia="黑体"/>
                <w:bCs/>
                <w:kern w:val="0"/>
                <w:sz w:val="28"/>
                <w:szCs w:val="28"/>
              </w:rPr>
            </w:pPr>
            <w:r>
              <w:rPr>
                <w:rFonts w:ascii="黑体" w:hAnsi="黑体" w:eastAsia="黑体"/>
                <w:bCs/>
                <w:kern w:val="0"/>
                <w:sz w:val="28"/>
                <w:szCs w:val="28"/>
              </w:rPr>
              <w:t>属性</w:t>
            </w:r>
          </w:p>
        </w:tc>
      </w:tr>
      <w:tr w14:paraId="47CD4F06">
        <w:tblPrEx>
          <w:tblCellMar>
            <w:top w:w="0" w:type="dxa"/>
            <w:left w:w="108" w:type="dxa"/>
            <w:bottom w:w="0" w:type="dxa"/>
            <w:right w:w="108" w:type="dxa"/>
          </w:tblCellMar>
        </w:tblPrEx>
        <w:trPr>
          <w:wBefore w:w="0" w:type="dxa"/>
          <w:wAfter w:w="0" w:type="dxa"/>
          <w:trHeight w:val="397" w:hRule="exact"/>
          <w:jc w:val="center"/>
        </w:trPr>
        <w:tc>
          <w:tcPr>
            <w:tcW w:w="496" w:type="dxa"/>
            <w:vMerge w:val="restart"/>
            <w:tcBorders>
              <w:top w:val="nil"/>
              <w:left w:val="single" w:color="000000" w:sz="4" w:space="0"/>
              <w:bottom w:val="single" w:color="000000" w:sz="4" w:space="0"/>
              <w:right w:val="single" w:color="000000" w:sz="4" w:space="0"/>
            </w:tcBorders>
            <w:noWrap w:val="0"/>
            <w:vAlign w:val="center"/>
          </w:tcPr>
          <w:p w14:paraId="07EB7307">
            <w:pPr>
              <w:widowControl/>
              <w:spacing w:line="400" w:lineRule="exact"/>
              <w:jc w:val="center"/>
              <w:rPr>
                <w:rFonts w:hint="eastAsia" w:ascii="仿宋_GB2312" w:eastAsia="仿宋_GB2312"/>
                <w:kern w:val="0"/>
                <w:sz w:val="24"/>
              </w:rPr>
            </w:pPr>
            <w:r>
              <w:rPr>
                <w:rFonts w:hint="eastAsia" w:ascii="仿宋_GB2312" w:eastAsia="仿宋_GB2312"/>
                <w:kern w:val="0"/>
                <w:sz w:val="24"/>
              </w:rPr>
              <w:t>经济发展</w:t>
            </w:r>
          </w:p>
        </w:tc>
        <w:tc>
          <w:tcPr>
            <w:tcW w:w="496" w:type="dxa"/>
            <w:tcBorders>
              <w:top w:val="nil"/>
              <w:left w:val="single" w:color="000000" w:sz="4" w:space="0"/>
              <w:bottom w:val="single" w:color="auto" w:sz="4" w:space="0"/>
              <w:right w:val="single" w:color="000000" w:sz="4" w:space="0"/>
            </w:tcBorders>
            <w:noWrap w:val="0"/>
            <w:vAlign w:val="center"/>
          </w:tcPr>
          <w:p w14:paraId="730D39C6">
            <w:pPr>
              <w:spacing w:line="400" w:lineRule="exact"/>
              <w:jc w:val="center"/>
              <w:rPr>
                <w:rFonts w:hint="eastAsia" w:ascii="仿宋_GB2312" w:eastAsia="仿宋_GB2312"/>
                <w:sz w:val="24"/>
              </w:rPr>
            </w:pPr>
            <w:r>
              <w:rPr>
                <w:rFonts w:hint="eastAsia" w:ascii="仿宋_GB2312" w:eastAsia="仿宋_GB2312"/>
                <w:sz w:val="24"/>
              </w:rPr>
              <w:t>1</w:t>
            </w:r>
          </w:p>
        </w:tc>
        <w:tc>
          <w:tcPr>
            <w:tcW w:w="2979" w:type="dxa"/>
            <w:tcBorders>
              <w:top w:val="nil"/>
              <w:left w:val="single" w:color="000000" w:sz="4" w:space="0"/>
              <w:bottom w:val="single" w:color="auto" w:sz="4" w:space="0"/>
              <w:right w:val="single" w:color="000000" w:sz="4" w:space="0"/>
            </w:tcBorders>
            <w:noWrap w:val="0"/>
            <w:vAlign w:val="center"/>
          </w:tcPr>
          <w:p w14:paraId="12F64545">
            <w:pPr>
              <w:spacing w:line="400" w:lineRule="exact"/>
              <w:rPr>
                <w:rFonts w:hint="eastAsia" w:ascii="仿宋_GB2312" w:eastAsia="仿宋_GB2312"/>
                <w:sz w:val="24"/>
              </w:rPr>
            </w:pPr>
            <w:r>
              <w:rPr>
                <w:rFonts w:hint="eastAsia" w:ascii="仿宋_GB2312" w:eastAsia="仿宋_GB2312"/>
                <w:sz w:val="24"/>
              </w:rPr>
              <w:t>地区生产总值</w:t>
            </w:r>
          </w:p>
        </w:tc>
        <w:tc>
          <w:tcPr>
            <w:tcW w:w="868" w:type="dxa"/>
            <w:tcBorders>
              <w:top w:val="nil"/>
              <w:left w:val="single" w:color="000000" w:sz="4" w:space="0"/>
              <w:bottom w:val="single" w:color="auto" w:sz="4" w:space="0"/>
              <w:right w:val="single" w:color="000000" w:sz="4" w:space="0"/>
            </w:tcBorders>
            <w:noWrap w:val="0"/>
            <w:vAlign w:val="center"/>
          </w:tcPr>
          <w:p w14:paraId="2C8B2526">
            <w:pPr>
              <w:spacing w:line="400" w:lineRule="exact"/>
              <w:jc w:val="center"/>
              <w:rPr>
                <w:rFonts w:hint="eastAsia" w:ascii="仿宋_GB2312" w:eastAsia="仿宋_GB2312"/>
                <w:sz w:val="24"/>
              </w:rPr>
            </w:pPr>
            <w:r>
              <w:rPr>
                <w:rFonts w:hint="eastAsia" w:ascii="仿宋_GB2312" w:eastAsia="仿宋_GB2312"/>
                <w:sz w:val="24"/>
              </w:rPr>
              <w:t>亿元</w:t>
            </w:r>
          </w:p>
        </w:tc>
        <w:tc>
          <w:tcPr>
            <w:tcW w:w="1357" w:type="dxa"/>
            <w:tcBorders>
              <w:top w:val="nil"/>
              <w:left w:val="nil"/>
              <w:bottom w:val="single" w:color="auto" w:sz="4" w:space="0"/>
              <w:right w:val="single" w:color="000000" w:sz="4" w:space="0"/>
            </w:tcBorders>
            <w:noWrap w:val="0"/>
            <w:vAlign w:val="center"/>
          </w:tcPr>
          <w:p w14:paraId="6EE98B3A">
            <w:pPr>
              <w:spacing w:line="400" w:lineRule="exact"/>
              <w:jc w:val="center"/>
              <w:rPr>
                <w:rFonts w:hint="eastAsia" w:ascii="仿宋_GB2312" w:eastAsia="仿宋_GB2312"/>
                <w:sz w:val="24"/>
              </w:rPr>
            </w:pPr>
            <w:r>
              <w:rPr>
                <w:rFonts w:hint="eastAsia" w:ascii="仿宋_GB2312" w:eastAsia="仿宋_GB2312"/>
                <w:sz w:val="24"/>
              </w:rPr>
              <w:t>320</w:t>
            </w:r>
          </w:p>
        </w:tc>
        <w:tc>
          <w:tcPr>
            <w:tcW w:w="1080" w:type="dxa"/>
            <w:tcBorders>
              <w:top w:val="nil"/>
              <w:left w:val="nil"/>
              <w:bottom w:val="single" w:color="auto" w:sz="4" w:space="0"/>
              <w:right w:val="single" w:color="000000" w:sz="4" w:space="0"/>
            </w:tcBorders>
            <w:noWrap w:val="0"/>
            <w:vAlign w:val="center"/>
          </w:tcPr>
          <w:p w14:paraId="1C39D149">
            <w:pPr>
              <w:spacing w:line="400" w:lineRule="exact"/>
              <w:jc w:val="center"/>
              <w:rPr>
                <w:rFonts w:hint="eastAsia" w:ascii="仿宋_GB2312" w:eastAsia="仿宋_GB2312"/>
                <w:sz w:val="24"/>
              </w:rPr>
            </w:pPr>
            <w:r>
              <w:rPr>
                <w:rFonts w:hint="eastAsia" w:ascii="仿宋_GB2312" w:eastAsia="仿宋_GB2312"/>
                <w:sz w:val="24"/>
              </w:rPr>
              <w:t>—</w:t>
            </w:r>
          </w:p>
        </w:tc>
        <w:tc>
          <w:tcPr>
            <w:tcW w:w="1440" w:type="dxa"/>
            <w:tcBorders>
              <w:top w:val="nil"/>
              <w:left w:val="single" w:color="000000" w:sz="4" w:space="0"/>
              <w:bottom w:val="single" w:color="auto" w:sz="4" w:space="0"/>
              <w:right w:val="single" w:color="000000" w:sz="4" w:space="0"/>
            </w:tcBorders>
            <w:noWrap w:val="0"/>
            <w:vAlign w:val="center"/>
          </w:tcPr>
          <w:p w14:paraId="4B7648E0">
            <w:pPr>
              <w:spacing w:line="400" w:lineRule="exact"/>
              <w:jc w:val="center"/>
              <w:rPr>
                <w:rFonts w:hint="eastAsia" w:ascii="仿宋_GB2312" w:eastAsia="仿宋_GB2312"/>
                <w:sz w:val="24"/>
              </w:rPr>
            </w:pPr>
            <w:r>
              <w:rPr>
                <w:rFonts w:hint="eastAsia" w:ascii="仿宋_GB2312" w:eastAsia="仿宋_GB2312"/>
                <w:sz w:val="24"/>
              </w:rPr>
              <w:t>6</w:t>
            </w:r>
          </w:p>
        </w:tc>
        <w:tc>
          <w:tcPr>
            <w:tcW w:w="999" w:type="dxa"/>
            <w:tcBorders>
              <w:top w:val="nil"/>
              <w:left w:val="single" w:color="000000" w:sz="4" w:space="0"/>
              <w:bottom w:val="single" w:color="auto" w:sz="4" w:space="0"/>
              <w:right w:val="single" w:color="000000" w:sz="4" w:space="0"/>
            </w:tcBorders>
            <w:noWrap w:val="0"/>
            <w:vAlign w:val="center"/>
          </w:tcPr>
          <w:p w14:paraId="6FF31140">
            <w:pPr>
              <w:spacing w:line="400" w:lineRule="exact"/>
              <w:jc w:val="center"/>
              <w:rPr>
                <w:rFonts w:hint="eastAsia" w:ascii="仿宋_GB2312" w:eastAsia="仿宋_GB2312"/>
                <w:sz w:val="24"/>
              </w:rPr>
            </w:pPr>
            <w:r>
              <w:rPr>
                <w:rFonts w:hint="eastAsia" w:ascii="仿宋_GB2312" w:eastAsia="仿宋_GB2312"/>
                <w:sz w:val="24"/>
              </w:rPr>
              <w:t>预期性</w:t>
            </w:r>
          </w:p>
        </w:tc>
      </w:tr>
      <w:tr w14:paraId="3CC155D7">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top w:val="nil"/>
              <w:left w:val="single" w:color="000000" w:sz="4" w:space="0"/>
              <w:bottom w:val="single" w:color="000000" w:sz="4" w:space="0"/>
              <w:right w:val="single" w:color="000000" w:sz="4" w:space="0"/>
            </w:tcBorders>
            <w:noWrap w:val="0"/>
            <w:vAlign w:val="center"/>
          </w:tcPr>
          <w:p w14:paraId="06F1BC65">
            <w:pPr>
              <w:widowControl/>
              <w:spacing w:line="400" w:lineRule="exact"/>
              <w:jc w:val="left"/>
              <w:rPr>
                <w:rFonts w:hint="eastAsia" w:ascii="仿宋_GB2312" w:eastAsia="仿宋_GB2312"/>
                <w:kern w:val="0"/>
                <w:sz w:val="24"/>
              </w:rPr>
            </w:pPr>
          </w:p>
        </w:tc>
        <w:tc>
          <w:tcPr>
            <w:tcW w:w="496" w:type="dxa"/>
            <w:tcBorders>
              <w:top w:val="single" w:color="auto" w:sz="4" w:space="0"/>
              <w:left w:val="single" w:color="000000" w:sz="4" w:space="0"/>
              <w:bottom w:val="single" w:color="000000" w:sz="4" w:space="0"/>
              <w:right w:val="single" w:color="000000" w:sz="4" w:space="0"/>
            </w:tcBorders>
            <w:noWrap w:val="0"/>
            <w:vAlign w:val="center"/>
          </w:tcPr>
          <w:p w14:paraId="7EC8DC7C">
            <w:pPr>
              <w:spacing w:line="400" w:lineRule="exact"/>
              <w:jc w:val="center"/>
              <w:rPr>
                <w:rFonts w:hint="eastAsia" w:ascii="仿宋_GB2312" w:eastAsia="仿宋_GB2312"/>
                <w:sz w:val="24"/>
              </w:rPr>
            </w:pPr>
            <w:r>
              <w:rPr>
                <w:rFonts w:hint="eastAsia" w:ascii="仿宋_GB2312" w:eastAsia="仿宋_GB2312"/>
                <w:sz w:val="24"/>
              </w:rPr>
              <w:t>2</w:t>
            </w:r>
          </w:p>
        </w:tc>
        <w:tc>
          <w:tcPr>
            <w:tcW w:w="2979" w:type="dxa"/>
            <w:tcBorders>
              <w:top w:val="single" w:color="auto" w:sz="4" w:space="0"/>
              <w:left w:val="single" w:color="000000" w:sz="4" w:space="0"/>
              <w:bottom w:val="single" w:color="000000" w:sz="4" w:space="0"/>
              <w:right w:val="single" w:color="000000" w:sz="4" w:space="0"/>
            </w:tcBorders>
            <w:noWrap w:val="0"/>
            <w:vAlign w:val="center"/>
          </w:tcPr>
          <w:p w14:paraId="7C618211">
            <w:pPr>
              <w:spacing w:line="400" w:lineRule="exact"/>
              <w:rPr>
                <w:rFonts w:hint="eastAsia" w:ascii="仿宋_GB2312" w:eastAsia="仿宋_GB2312"/>
                <w:sz w:val="24"/>
              </w:rPr>
            </w:pPr>
            <w:r>
              <w:rPr>
                <w:rFonts w:hint="eastAsia" w:ascii="仿宋_GB2312" w:eastAsia="仿宋_GB2312"/>
                <w:sz w:val="24"/>
              </w:rPr>
              <w:t>一般公共预算收入</w:t>
            </w:r>
          </w:p>
        </w:tc>
        <w:tc>
          <w:tcPr>
            <w:tcW w:w="868" w:type="dxa"/>
            <w:tcBorders>
              <w:top w:val="single" w:color="auto" w:sz="4" w:space="0"/>
              <w:left w:val="single" w:color="000000" w:sz="4" w:space="0"/>
              <w:bottom w:val="single" w:color="000000" w:sz="4" w:space="0"/>
              <w:right w:val="single" w:color="000000" w:sz="4" w:space="0"/>
            </w:tcBorders>
            <w:noWrap w:val="0"/>
            <w:vAlign w:val="center"/>
          </w:tcPr>
          <w:p w14:paraId="78383353">
            <w:pPr>
              <w:spacing w:line="400" w:lineRule="exact"/>
              <w:jc w:val="center"/>
              <w:rPr>
                <w:rFonts w:hint="eastAsia" w:ascii="仿宋_GB2312" w:eastAsia="仿宋_GB2312"/>
                <w:sz w:val="24"/>
              </w:rPr>
            </w:pPr>
            <w:r>
              <w:rPr>
                <w:rFonts w:hint="eastAsia" w:ascii="仿宋_GB2312" w:eastAsia="仿宋_GB2312"/>
                <w:sz w:val="24"/>
              </w:rPr>
              <w:t>亿元</w:t>
            </w:r>
          </w:p>
        </w:tc>
        <w:tc>
          <w:tcPr>
            <w:tcW w:w="1357" w:type="dxa"/>
            <w:tcBorders>
              <w:top w:val="single" w:color="auto" w:sz="4" w:space="0"/>
              <w:left w:val="nil"/>
              <w:bottom w:val="single" w:color="000000" w:sz="4" w:space="0"/>
              <w:right w:val="single" w:color="000000" w:sz="4" w:space="0"/>
            </w:tcBorders>
            <w:noWrap w:val="0"/>
            <w:vAlign w:val="center"/>
          </w:tcPr>
          <w:p w14:paraId="7EDF9BEC">
            <w:pPr>
              <w:spacing w:line="400" w:lineRule="exact"/>
              <w:jc w:val="center"/>
              <w:rPr>
                <w:rFonts w:hint="eastAsia" w:ascii="仿宋_GB2312" w:eastAsia="仿宋_GB2312"/>
                <w:sz w:val="24"/>
              </w:rPr>
            </w:pPr>
            <w:r>
              <w:rPr>
                <w:rFonts w:hint="eastAsia" w:ascii="仿宋_GB2312" w:eastAsia="仿宋_GB2312"/>
                <w:sz w:val="24"/>
              </w:rPr>
              <w:t>14.06</w:t>
            </w:r>
          </w:p>
        </w:tc>
        <w:tc>
          <w:tcPr>
            <w:tcW w:w="1080" w:type="dxa"/>
            <w:tcBorders>
              <w:top w:val="single" w:color="auto" w:sz="4" w:space="0"/>
              <w:left w:val="nil"/>
              <w:bottom w:val="single" w:color="000000" w:sz="4" w:space="0"/>
              <w:right w:val="single" w:color="000000" w:sz="4" w:space="0"/>
            </w:tcBorders>
            <w:noWrap w:val="0"/>
            <w:vAlign w:val="center"/>
          </w:tcPr>
          <w:p w14:paraId="7AE15B3B">
            <w:pPr>
              <w:spacing w:line="400" w:lineRule="exact"/>
              <w:jc w:val="center"/>
              <w:rPr>
                <w:rFonts w:hint="eastAsia" w:ascii="仿宋_GB2312" w:eastAsia="仿宋_GB2312"/>
                <w:sz w:val="24"/>
              </w:rPr>
            </w:pPr>
            <w:r>
              <w:rPr>
                <w:rFonts w:hint="eastAsia" w:ascii="仿宋_GB2312" w:eastAsia="仿宋_GB2312"/>
                <w:sz w:val="24"/>
              </w:rPr>
              <w:t>—</w:t>
            </w:r>
          </w:p>
        </w:tc>
        <w:tc>
          <w:tcPr>
            <w:tcW w:w="1440" w:type="dxa"/>
            <w:tcBorders>
              <w:top w:val="single" w:color="auto" w:sz="4" w:space="0"/>
              <w:left w:val="single" w:color="000000" w:sz="4" w:space="0"/>
              <w:bottom w:val="single" w:color="000000" w:sz="4" w:space="0"/>
              <w:right w:val="single" w:color="000000" w:sz="4" w:space="0"/>
            </w:tcBorders>
            <w:noWrap w:val="0"/>
            <w:vAlign w:val="center"/>
          </w:tcPr>
          <w:p w14:paraId="4215EF1C">
            <w:pPr>
              <w:spacing w:line="400" w:lineRule="exact"/>
              <w:jc w:val="center"/>
              <w:rPr>
                <w:rFonts w:hint="eastAsia" w:ascii="仿宋_GB2312" w:eastAsia="仿宋_GB2312"/>
                <w:sz w:val="24"/>
              </w:rPr>
            </w:pPr>
            <w:r>
              <w:rPr>
                <w:rFonts w:hint="eastAsia" w:ascii="仿宋_GB2312" w:eastAsia="仿宋_GB2312"/>
                <w:sz w:val="24"/>
              </w:rPr>
              <w:t>6</w:t>
            </w:r>
          </w:p>
        </w:tc>
        <w:tc>
          <w:tcPr>
            <w:tcW w:w="999" w:type="dxa"/>
            <w:tcBorders>
              <w:top w:val="single" w:color="auto" w:sz="4" w:space="0"/>
              <w:left w:val="single" w:color="000000" w:sz="4" w:space="0"/>
              <w:bottom w:val="single" w:color="000000" w:sz="4" w:space="0"/>
              <w:right w:val="single" w:color="000000" w:sz="4" w:space="0"/>
            </w:tcBorders>
            <w:noWrap w:val="0"/>
            <w:vAlign w:val="center"/>
          </w:tcPr>
          <w:p w14:paraId="6D243375">
            <w:pPr>
              <w:spacing w:line="400" w:lineRule="exact"/>
              <w:jc w:val="center"/>
              <w:rPr>
                <w:rFonts w:hint="eastAsia" w:ascii="仿宋_GB2312" w:eastAsia="仿宋_GB2312"/>
                <w:sz w:val="24"/>
              </w:rPr>
            </w:pPr>
            <w:r>
              <w:rPr>
                <w:rFonts w:hint="eastAsia" w:ascii="仿宋_GB2312" w:eastAsia="仿宋_GB2312"/>
                <w:sz w:val="24"/>
              </w:rPr>
              <w:t>预期性</w:t>
            </w:r>
          </w:p>
        </w:tc>
      </w:tr>
      <w:tr w14:paraId="33CB6EBC">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top w:val="nil"/>
              <w:left w:val="single" w:color="000000" w:sz="4" w:space="0"/>
              <w:bottom w:val="single" w:color="000000" w:sz="4" w:space="0"/>
              <w:right w:val="single" w:color="000000" w:sz="4" w:space="0"/>
            </w:tcBorders>
            <w:noWrap w:val="0"/>
            <w:vAlign w:val="center"/>
          </w:tcPr>
          <w:p w14:paraId="1253D306">
            <w:pPr>
              <w:widowControl/>
              <w:spacing w:line="400" w:lineRule="exact"/>
              <w:jc w:val="left"/>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2D72F30B">
            <w:pPr>
              <w:spacing w:line="400" w:lineRule="exact"/>
              <w:jc w:val="center"/>
              <w:rPr>
                <w:rFonts w:hint="eastAsia" w:ascii="仿宋_GB2312" w:eastAsia="仿宋_GB2312"/>
                <w:sz w:val="24"/>
              </w:rPr>
            </w:pPr>
            <w:r>
              <w:rPr>
                <w:rFonts w:hint="eastAsia" w:ascii="仿宋_GB2312" w:eastAsia="仿宋_GB2312"/>
                <w:sz w:val="24"/>
              </w:rPr>
              <w:t>3</w:t>
            </w:r>
          </w:p>
        </w:tc>
        <w:tc>
          <w:tcPr>
            <w:tcW w:w="2979" w:type="dxa"/>
            <w:tcBorders>
              <w:top w:val="nil"/>
              <w:left w:val="nil"/>
              <w:bottom w:val="single" w:color="000000" w:sz="4" w:space="0"/>
              <w:right w:val="single" w:color="000000" w:sz="4" w:space="0"/>
            </w:tcBorders>
            <w:noWrap w:val="0"/>
            <w:vAlign w:val="center"/>
          </w:tcPr>
          <w:p w14:paraId="2E7FE1E1">
            <w:pPr>
              <w:spacing w:line="400" w:lineRule="exact"/>
              <w:rPr>
                <w:rFonts w:hint="eastAsia" w:ascii="仿宋_GB2312" w:eastAsia="仿宋_GB2312"/>
                <w:sz w:val="24"/>
              </w:rPr>
            </w:pPr>
            <w:r>
              <w:rPr>
                <w:rFonts w:hint="eastAsia" w:ascii="仿宋_GB2312" w:eastAsia="仿宋_GB2312"/>
                <w:sz w:val="24"/>
              </w:rPr>
              <w:t>固定资产投资</w:t>
            </w:r>
          </w:p>
        </w:tc>
        <w:tc>
          <w:tcPr>
            <w:tcW w:w="868" w:type="dxa"/>
            <w:tcBorders>
              <w:top w:val="nil"/>
              <w:left w:val="nil"/>
              <w:bottom w:val="single" w:color="000000" w:sz="4" w:space="0"/>
              <w:right w:val="single" w:color="000000" w:sz="4" w:space="0"/>
            </w:tcBorders>
            <w:noWrap w:val="0"/>
            <w:vAlign w:val="center"/>
          </w:tcPr>
          <w:p w14:paraId="5755E7EB">
            <w:pPr>
              <w:spacing w:line="400" w:lineRule="exact"/>
              <w:jc w:val="center"/>
              <w:rPr>
                <w:rFonts w:hint="eastAsia" w:ascii="仿宋_GB2312" w:eastAsia="仿宋_GB2312"/>
                <w:sz w:val="24"/>
              </w:rPr>
            </w:pPr>
            <w:r>
              <w:rPr>
                <w:rFonts w:hint="eastAsia" w:ascii="仿宋_GB2312" w:eastAsia="仿宋_GB2312"/>
                <w:sz w:val="24"/>
              </w:rPr>
              <w:t>亿元</w:t>
            </w:r>
          </w:p>
        </w:tc>
        <w:tc>
          <w:tcPr>
            <w:tcW w:w="1357" w:type="dxa"/>
            <w:tcBorders>
              <w:top w:val="nil"/>
              <w:left w:val="nil"/>
              <w:bottom w:val="single" w:color="000000" w:sz="4" w:space="0"/>
              <w:right w:val="single" w:color="000000" w:sz="4" w:space="0"/>
            </w:tcBorders>
            <w:noWrap w:val="0"/>
            <w:vAlign w:val="center"/>
          </w:tcPr>
          <w:p w14:paraId="7AE94F57">
            <w:pPr>
              <w:spacing w:line="400" w:lineRule="exact"/>
              <w:jc w:val="center"/>
              <w:rPr>
                <w:rFonts w:hint="eastAsia" w:ascii="仿宋_GB2312" w:eastAsia="仿宋_GB2312"/>
                <w:sz w:val="24"/>
              </w:rPr>
            </w:pPr>
            <w:r>
              <w:rPr>
                <w:rFonts w:hint="eastAsia" w:ascii="仿宋_GB2312" w:eastAsia="仿宋_GB2312"/>
                <w:sz w:val="24"/>
              </w:rPr>
              <w:t>32</w:t>
            </w:r>
          </w:p>
        </w:tc>
        <w:tc>
          <w:tcPr>
            <w:tcW w:w="1080" w:type="dxa"/>
            <w:tcBorders>
              <w:top w:val="nil"/>
              <w:left w:val="nil"/>
              <w:bottom w:val="single" w:color="000000" w:sz="4" w:space="0"/>
              <w:right w:val="single" w:color="000000" w:sz="4" w:space="0"/>
            </w:tcBorders>
            <w:noWrap w:val="0"/>
            <w:vAlign w:val="center"/>
          </w:tcPr>
          <w:p w14:paraId="414C9D7D">
            <w:pPr>
              <w:spacing w:line="400" w:lineRule="exact"/>
              <w:jc w:val="center"/>
              <w:rPr>
                <w:rFonts w:hint="eastAsia" w:ascii="仿宋_GB2312" w:eastAsia="仿宋_GB2312"/>
                <w:sz w:val="24"/>
              </w:rPr>
            </w:pPr>
            <w:r>
              <w:rPr>
                <w:rFonts w:hint="eastAsia" w:ascii="仿宋_GB2312" w:eastAsia="仿宋_GB2312"/>
                <w:sz w:val="24"/>
              </w:rPr>
              <w:t>—</w:t>
            </w:r>
          </w:p>
        </w:tc>
        <w:tc>
          <w:tcPr>
            <w:tcW w:w="1440" w:type="dxa"/>
            <w:tcBorders>
              <w:top w:val="nil"/>
              <w:left w:val="nil"/>
              <w:bottom w:val="single" w:color="000000" w:sz="4" w:space="0"/>
              <w:right w:val="single" w:color="000000" w:sz="4" w:space="0"/>
            </w:tcBorders>
            <w:noWrap w:val="0"/>
            <w:vAlign w:val="center"/>
          </w:tcPr>
          <w:p w14:paraId="43AD362A">
            <w:pPr>
              <w:spacing w:line="400" w:lineRule="exact"/>
              <w:jc w:val="center"/>
              <w:rPr>
                <w:rFonts w:hint="eastAsia" w:ascii="仿宋_GB2312" w:eastAsia="仿宋_GB2312"/>
                <w:sz w:val="24"/>
              </w:rPr>
            </w:pPr>
            <w:r>
              <w:rPr>
                <w:rFonts w:hint="eastAsia" w:ascii="仿宋_GB2312" w:eastAsia="仿宋_GB2312"/>
                <w:sz w:val="24"/>
              </w:rPr>
              <w:t>7</w:t>
            </w:r>
          </w:p>
        </w:tc>
        <w:tc>
          <w:tcPr>
            <w:tcW w:w="999" w:type="dxa"/>
            <w:tcBorders>
              <w:top w:val="nil"/>
              <w:left w:val="nil"/>
              <w:bottom w:val="single" w:color="000000" w:sz="4" w:space="0"/>
              <w:right w:val="single" w:color="000000" w:sz="4" w:space="0"/>
            </w:tcBorders>
            <w:noWrap w:val="0"/>
            <w:vAlign w:val="center"/>
          </w:tcPr>
          <w:p w14:paraId="6E92DC84">
            <w:pPr>
              <w:spacing w:line="400" w:lineRule="exact"/>
              <w:jc w:val="center"/>
              <w:rPr>
                <w:rFonts w:hint="eastAsia" w:ascii="仿宋_GB2312" w:eastAsia="仿宋_GB2312"/>
                <w:sz w:val="24"/>
              </w:rPr>
            </w:pPr>
            <w:r>
              <w:rPr>
                <w:rFonts w:hint="eastAsia" w:ascii="仿宋_GB2312" w:eastAsia="仿宋_GB2312"/>
                <w:sz w:val="24"/>
              </w:rPr>
              <w:t>预期性</w:t>
            </w:r>
          </w:p>
        </w:tc>
      </w:tr>
      <w:tr w14:paraId="691D623B">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top w:val="nil"/>
              <w:left w:val="single" w:color="000000" w:sz="4" w:space="0"/>
              <w:bottom w:val="single" w:color="000000" w:sz="4" w:space="0"/>
              <w:right w:val="single" w:color="000000" w:sz="4" w:space="0"/>
            </w:tcBorders>
            <w:noWrap w:val="0"/>
            <w:vAlign w:val="center"/>
          </w:tcPr>
          <w:p w14:paraId="323CBED3">
            <w:pPr>
              <w:widowControl/>
              <w:spacing w:line="400" w:lineRule="exact"/>
              <w:jc w:val="left"/>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619AA7D7">
            <w:pPr>
              <w:spacing w:line="400" w:lineRule="exact"/>
              <w:jc w:val="center"/>
              <w:rPr>
                <w:rFonts w:hint="eastAsia" w:ascii="仿宋_GB2312" w:eastAsia="仿宋_GB2312"/>
                <w:sz w:val="24"/>
              </w:rPr>
            </w:pPr>
            <w:r>
              <w:rPr>
                <w:rFonts w:hint="eastAsia" w:ascii="仿宋_GB2312" w:eastAsia="仿宋_GB2312"/>
                <w:sz w:val="24"/>
              </w:rPr>
              <w:t>4</w:t>
            </w:r>
          </w:p>
        </w:tc>
        <w:tc>
          <w:tcPr>
            <w:tcW w:w="2979" w:type="dxa"/>
            <w:tcBorders>
              <w:top w:val="nil"/>
              <w:left w:val="nil"/>
              <w:bottom w:val="single" w:color="000000" w:sz="4" w:space="0"/>
              <w:right w:val="single" w:color="000000" w:sz="4" w:space="0"/>
            </w:tcBorders>
            <w:noWrap w:val="0"/>
            <w:vAlign w:val="center"/>
          </w:tcPr>
          <w:p w14:paraId="12B579E8">
            <w:pPr>
              <w:spacing w:line="400" w:lineRule="exact"/>
              <w:rPr>
                <w:rFonts w:hint="eastAsia" w:ascii="仿宋_GB2312" w:eastAsia="仿宋_GB2312"/>
                <w:sz w:val="24"/>
              </w:rPr>
            </w:pPr>
            <w:r>
              <w:rPr>
                <w:rFonts w:hint="eastAsia" w:ascii="仿宋_GB2312" w:eastAsia="仿宋_GB2312"/>
                <w:sz w:val="24"/>
              </w:rPr>
              <w:t>社会消费品零售总额</w:t>
            </w:r>
          </w:p>
        </w:tc>
        <w:tc>
          <w:tcPr>
            <w:tcW w:w="868" w:type="dxa"/>
            <w:tcBorders>
              <w:top w:val="nil"/>
              <w:left w:val="nil"/>
              <w:bottom w:val="single" w:color="000000" w:sz="4" w:space="0"/>
              <w:right w:val="single" w:color="000000" w:sz="4" w:space="0"/>
            </w:tcBorders>
            <w:noWrap w:val="0"/>
            <w:vAlign w:val="center"/>
          </w:tcPr>
          <w:p w14:paraId="4B4931BE">
            <w:pPr>
              <w:spacing w:line="400" w:lineRule="exact"/>
              <w:jc w:val="center"/>
              <w:rPr>
                <w:rFonts w:hint="eastAsia" w:ascii="仿宋_GB2312" w:eastAsia="仿宋_GB2312"/>
                <w:sz w:val="24"/>
              </w:rPr>
            </w:pPr>
            <w:r>
              <w:rPr>
                <w:rFonts w:hint="eastAsia" w:ascii="仿宋_GB2312" w:eastAsia="仿宋_GB2312"/>
                <w:sz w:val="24"/>
              </w:rPr>
              <w:t>亿元</w:t>
            </w:r>
          </w:p>
        </w:tc>
        <w:tc>
          <w:tcPr>
            <w:tcW w:w="1357" w:type="dxa"/>
            <w:tcBorders>
              <w:top w:val="nil"/>
              <w:left w:val="nil"/>
              <w:bottom w:val="single" w:color="000000" w:sz="4" w:space="0"/>
              <w:right w:val="single" w:color="000000" w:sz="4" w:space="0"/>
            </w:tcBorders>
            <w:noWrap w:val="0"/>
            <w:vAlign w:val="center"/>
          </w:tcPr>
          <w:p w14:paraId="3000AA00">
            <w:pPr>
              <w:spacing w:line="400" w:lineRule="exact"/>
              <w:jc w:val="center"/>
              <w:rPr>
                <w:rFonts w:hint="eastAsia" w:ascii="仿宋_GB2312" w:eastAsia="仿宋_GB2312"/>
                <w:sz w:val="24"/>
              </w:rPr>
            </w:pPr>
            <w:r>
              <w:rPr>
                <w:rFonts w:hint="eastAsia" w:ascii="仿宋_GB2312" w:eastAsia="仿宋_GB2312"/>
                <w:sz w:val="24"/>
              </w:rPr>
              <w:t>270</w:t>
            </w:r>
          </w:p>
        </w:tc>
        <w:tc>
          <w:tcPr>
            <w:tcW w:w="1080" w:type="dxa"/>
            <w:tcBorders>
              <w:top w:val="nil"/>
              <w:left w:val="nil"/>
              <w:bottom w:val="single" w:color="000000" w:sz="4" w:space="0"/>
              <w:right w:val="single" w:color="000000" w:sz="4" w:space="0"/>
            </w:tcBorders>
            <w:noWrap w:val="0"/>
            <w:vAlign w:val="center"/>
          </w:tcPr>
          <w:p w14:paraId="67148589">
            <w:pPr>
              <w:spacing w:line="400" w:lineRule="exact"/>
              <w:jc w:val="center"/>
              <w:rPr>
                <w:rFonts w:hint="eastAsia" w:ascii="仿宋_GB2312" w:eastAsia="仿宋_GB2312"/>
                <w:sz w:val="24"/>
              </w:rPr>
            </w:pPr>
            <w:r>
              <w:rPr>
                <w:rFonts w:hint="eastAsia" w:ascii="仿宋_GB2312" w:eastAsia="仿宋_GB2312"/>
                <w:sz w:val="24"/>
              </w:rPr>
              <w:t>—</w:t>
            </w:r>
          </w:p>
        </w:tc>
        <w:tc>
          <w:tcPr>
            <w:tcW w:w="1440" w:type="dxa"/>
            <w:tcBorders>
              <w:top w:val="nil"/>
              <w:left w:val="nil"/>
              <w:bottom w:val="single" w:color="000000" w:sz="4" w:space="0"/>
              <w:right w:val="single" w:color="000000" w:sz="4" w:space="0"/>
            </w:tcBorders>
            <w:noWrap w:val="0"/>
            <w:vAlign w:val="center"/>
          </w:tcPr>
          <w:p w14:paraId="72DDE08F">
            <w:pPr>
              <w:spacing w:line="400" w:lineRule="exact"/>
              <w:jc w:val="center"/>
              <w:rPr>
                <w:rFonts w:hint="eastAsia" w:ascii="仿宋_GB2312" w:eastAsia="仿宋_GB2312"/>
                <w:sz w:val="24"/>
              </w:rPr>
            </w:pPr>
            <w:r>
              <w:rPr>
                <w:rFonts w:hint="eastAsia" w:ascii="仿宋_GB2312" w:eastAsia="仿宋_GB2312"/>
                <w:sz w:val="24"/>
              </w:rPr>
              <w:t>≥8</w:t>
            </w:r>
          </w:p>
        </w:tc>
        <w:tc>
          <w:tcPr>
            <w:tcW w:w="999" w:type="dxa"/>
            <w:tcBorders>
              <w:top w:val="nil"/>
              <w:left w:val="nil"/>
              <w:bottom w:val="single" w:color="000000" w:sz="4" w:space="0"/>
              <w:right w:val="single" w:color="000000" w:sz="4" w:space="0"/>
            </w:tcBorders>
            <w:noWrap w:val="0"/>
            <w:vAlign w:val="center"/>
          </w:tcPr>
          <w:p w14:paraId="09E48A78">
            <w:pPr>
              <w:spacing w:line="400" w:lineRule="exact"/>
              <w:jc w:val="center"/>
              <w:rPr>
                <w:rFonts w:hint="eastAsia" w:ascii="仿宋_GB2312" w:eastAsia="仿宋_GB2312"/>
                <w:sz w:val="24"/>
              </w:rPr>
            </w:pPr>
            <w:r>
              <w:rPr>
                <w:rFonts w:hint="eastAsia" w:ascii="仿宋_GB2312" w:eastAsia="仿宋_GB2312"/>
                <w:sz w:val="24"/>
              </w:rPr>
              <w:t>预期性</w:t>
            </w:r>
          </w:p>
        </w:tc>
      </w:tr>
      <w:tr w14:paraId="3DD2F1E4">
        <w:tblPrEx>
          <w:tblCellMar>
            <w:top w:w="0" w:type="dxa"/>
            <w:left w:w="108" w:type="dxa"/>
            <w:bottom w:w="0" w:type="dxa"/>
            <w:right w:w="108" w:type="dxa"/>
          </w:tblCellMar>
        </w:tblPrEx>
        <w:trPr>
          <w:wBefore w:w="0" w:type="dxa"/>
          <w:wAfter w:w="0" w:type="dxa"/>
          <w:trHeight w:val="904" w:hRule="exact"/>
          <w:jc w:val="center"/>
        </w:trPr>
        <w:tc>
          <w:tcPr>
            <w:tcW w:w="496" w:type="dxa"/>
            <w:vMerge w:val="continue"/>
            <w:tcBorders>
              <w:top w:val="nil"/>
              <w:left w:val="single" w:color="000000" w:sz="4" w:space="0"/>
              <w:bottom w:val="single" w:color="000000" w:sz="4" w:space="0"/>
              <w:right w:val="single" w:color="000000" w:sz="4" w:space="0"/>
            </w:tcBorders>
            <w:noWrap w:val="0"/>
            <w:vAlign w:val="center"/>
          </w:tcPr>
          <w:p w14:paraId="543C77D3">
            <w:pPr>
              <w:widowControl/>
              <w:spacing w:line="400" w:lineRule="exact"/>
              <w:jc w:val="left"/>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521A66A9">
            <w:pPr>
              <w:spacing w:line="400" w:lineRule="exact"/>
              <w:jc w:val="center"/>
              <w:rPr>
                <w:rFonts w:hint="eastAsia" w:ascii="仿宋_GB2312" w:eastAsia="仿宋_GB2312"/>
                <w:sz w:val="24"/>
              </w:rPr>
            </w:pPr>
            <w:r>
              <w:rPr>
                <w:rFonts w:hint="eastAsia" w:ascii="仿宋_GB2312" w:eastAsia="仿宋_GB2312"/>
                <w:sz w:val="24"/>
              </w:rPr>
              <w:t>5</w:t>
            </w:r>
          </w:p>
        </w:tc>
        <w:tc>
          <w:tcPr>
            <w:tcW w:w="2979" w:type="dxa"/>
            <w:tcBorders>
              <w:top w:val="nil"/>
              <w:left w:val="nil"/>
              <w:bottom w:val="single" w:color="000000" w:sz="4" w:space="0"/>
              <w:right w:val="single" w:color="000000" w:sz="4" w:space="0"/>
            </w:tcBorders>
            <w:noWrap w:val="0"/>
            <w:vAlign w:val="center"/>
          </w:tcPr>
          <w:p w14:paraId="78014230">
            <w:pPr>
              <w:spacing w:line="400" w:lineRule="exact"/>
              <w:rPr>
                <w:rFonts w:hint="eastAsia" w:ascii="仿宋_GB2312" w:eastAsia="仿宋_GB2312"/>
                <w:spacing w:val="-6"/>
                <w:sz w:val="24"/>
              </w:rPr>
            </w:pPr>
            <w:r>
              <w:rPr>
                <w:rFonts w:hint="eastAsia" w:ascii="仿宋_GB2312" w:eastAsia="仿宋_GB2312"/>
                <w:spacing w:val="-6"/>
                <w:sz w:val="24"/>
              </w:rPr>
              <w:t>服务业增加值占地区生产总值比重</w:t>
            </w:r>
          </w:p>
        </w:tc>
        <w:tc>
          <w:tcPr>
            <w:tcW w:w="868" w:type="dxa"/>
            <w:tcBorders>
              <w:top w:val="nil"/>
              <w:left w:val="nil"/>
              <w:bottom w:val="single" w:color="000000" w:sz="4" w:space="0"/>
              <w:right w:val="single" w:color="000000" w:sz="4" w:space="0"/>
            </w:tcBorders>
            <w:noWrap w:val="0"/>
            <w:vAlign w:val="center"/>
          </w:tcPr>
          <w:p w14:paraId="567DC45B">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nil"/>
              <w:left w:val="nil"/>
              <w:bottom w:val="single" w:color="000000" w:sz="4" w:space="0"/>
              <w:right w:val="single" w:color="000000" w:sz="4" w:space="0"/>
            </w:tcBorders>
            <w:noWrap w:val="0"/>
            <w:vAlign w:val="center"/>
          </w:tcPr>
          <w:p w14:paraId="0CB40FD7">
            <w:pPr>
              <w:spacing w:line="400" w:lineRule="exact"/>
              <w:jc w:val="center"/>
              <w:rPr>
                <w:rFonts w:hint="eastAsia" w:ascii="仿宋_GB2312" w:eastAsia="仿宋_GB2312"/>
                <w:sz w:val="24"/>
              </w:rPr>
            </w:pPr>
            <w:r>
              <w:rPr>
                <w:rFonts w:hint="eastAsia" w:ascii="仿宋_GB2312" w:eastAsia="仿宋_GB2312"/>
                <w:sz w:val="24"/>
              </w:rPr>
              <w:t>73</w:t>
            </w:r>
          </w:p>
        </w:tc>
        <w:tc>
          <w:tcPr>
            <w:tcW w:w="1080" w:type="dxa"/>
            <w:tcBorders>
              <w:top w:val="nil"/>
              <w:left w:val="nil"/>
              <w:bottom w:val="single" w:color="000000" w:sz="4" w:space="0"/>
              <w:right w:val="single" w:color="000000" w:sz="4" w:space="0"/>
            </w:tcBorders>
            <w:noWrap w:val="0"/>
            <w:vAlign w:val="center"/>
          </w:tcPr>
          <w:p w14:paraId="35F43771">
            <w:pPr>
              <w:spacing w:line="400" w:lineRule="exact"/>
              <w:jc w:val="center"/>
              <w:rPr>
                <w:rFonts w:hint="eastAsia" w:ascii="仿宋_GB2312" w:eastAsia="仿宋_GB2312"/>
                <w:sz w:val="24"/>
              </w:rPr>
            </w:pPr>
            <w:r>
              <w:rPr>
                <w:rFonts w:hint="eastAsia" w:ascii="仿宋_GB2312" w:eastAsia="仿宋_GB2312"/>
                <w:sz w:val="24"/>
              </w:rPr>
              <w:t>75</w:t>
            </w:r>
          </w:p>
        </w:tc>
        <w:tc>
          <w:tcPr>
            <w:tcW w:w="1440" w:type="dxa"/>
            <w:tcBorders>
              <w:top w:val="nil"/>
              <w:left w:val="nil"/>
              <w:bottom w:val="single" w:color="000000" w:sz="4" w:space="0"/>
              <w:right w:val="single" w:color="000000" w:sz="4" w:space="0"/>
            </w:tcBorders>
            <w:noWrap w:val="0"/>
            <w:vAlign w:val="center"/>
          </w:tcPr>
          <w:p w14:paraId="37851EBA">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760D46A2">
            <w:pPr>
              <w:spacing w:line="400" w:lineRule="exact"/>
              <w:jc w:val="center"/>
              <w:rPr>
                <w:rFonts w:hint="eastAsia" w:ascii="仿宋_GB2312" w:eastAsia="仿宋_GB2312"/>
                <w:sz w:val="24"/>
              </w:rPr>
            </w:pPr>
            <w:r>
              <w:rPr>
                <w:rFonts w:hint="eastAsia" w:ascii="仿宋_GB2312" w:eastAsia="仿宋_GB2312"/>
                <w:sz w:val="24"/>
              </w:rPr>
              <w:t>预期性</w:t>
            </w:r>
          </w:p>
        </w:tc>
      </w:tr>
      <w:tr w14:paraId="3A4D2785">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top w:val="nil"/>
              <w:left w:val="single" w:color="000000" w:sz="4" w:space="0"/>
              <w:bottom w:val="single" w:color="000000" w:sz="4" w:space="0"/>
              <w:right w:val="single" w:color="000000" w:sz="4" w:space="0"/>
            </w:tcBorders>
            <w:noWrap w:val="0"/>
            <w:vAlign w:val="center"/>
          </w:tcPr>
          <w:p w14:paraId="195B1A04">
            <w:pPr>
              <w:widowControl/>
              <w:spacing w:line="400" w:lineRule="exact"/>
              <w:jc w:val="left"/>
              <w:rPr>
                <w:rFonts w:hint="eastAsia" w:ascii="仿宋_GB2312" w:eastAsia="仿宋_GB2312"/>
                <w:kern w:val="0"/>
                <w:sz w:val="24"/>
              </w:rPr>
            </w:pPr>
          </w:p>
        </w:tc>
        <w:tc>
          <w:tcPr>
            <w:tcW w:w="496" w:type="dxa"/>
            <w:tcBorders>
              <w:top w:val="single" w:color="000000" w:sz="4" w:space="0"/>
              <w:left w:val="nil"/>
              <w:bottom w:val="single" w:color="000000" w:sz="4" w:space="0"/>
              <w:right w:val="single" w:color="000000" w:sz="4" w:space="0"/>
            </w:tcBorders>
            <w:noWrap w:val="0"/>
            <w:vAlign w:val="center"/>
          </w:tcPr>
          <w:p w14:paraId="67941540">
            <w:pPr>
              <w:spacing w:line="400" w:lineRule="exact"/>
              <w:jc w:val="center"/>
              <w:rPr>
                <w:rFonts w:hint="eastAsia" w:ascii="仿宋_GB2312" w:eastAsia="仿宋_GB2312"/>
                <w:kern w:val="0"/>
                <w:sz w:val="24"/>
              </w:rPr>
            </w:pPr>
            <w:r>
              <w:rPr>
                <w:rFonts w:hint="eastAsia" w:ascii="仿宋_GB2312" w:eastAsia="仿宋_GB2312"/>
                <w:kern w:val="0"/>
                <w:sz w:val="24"/>
              </w:rPr>
              <w:t>6</w:t>
            </w:r>
          </w:p>
        </w:tc>
        <w:tc>
          <w:tcPr>
            <w:tcW w:w="2979" w:type="dxa"/>
            <w:tcBorders>
              <w:top w:val="single" w:color="000000" w:sz="4" w:space="0"/>
              <w:left w:val="nil"/>
              <w:bottom w:val="single" w:color="000000" w:sz="4" w:space="0"/>
              <w:right w:val="single" w:color="000000" w:sz="4" w:space="0"/>
            </w:tcBorders>
            <w:noWrap w:val="0"/>
            <w:vAlign w:val="center"/>
          </w:tcPr>
          <w:p w14:paraId="1C42460C">
            <w:pPr>
              <w:spacing w:line="400" w:lineRule="exact"/>
              <w:rPr>
                <w:rFonts w:hint="eastAsia" w:ascii="仿宋_GB2312" w:eastAsia="仿宋_GB2312"/>
                <w:sz w:val="24"/>
              </w:rPr>
            </w:pPr>
            <w:r>
              <w:rPr>
                <w:rFonts w:hint="eastAsia" w:ascii="仿宋_GB2312" w:eastAsia="仿宋_GB2312"/>
                <w:sz w:val="24"/>
              </w:rPr>
              <w:t>外贸出口总额五年累计</w:t>
            </w:r>
          </w:p>
        </w:tc>
        <w:tc>
          <w:tcPr>
            <w:tcW w:w="868" w:type="dxa"/>
            <w:tcBorders>
              <w:top w:val="single" w:color="000000" w:sz="4" w:space="0"/>
              <w:left w:val="nil"/>
              <w:bottom w:val="single" w:color="000000" w:sz="4" w:space="0"/>
              <w:right w:val="single" w:color="000000" w:sz="4" w:space="0"/>
            </w:tcBorders>
            <w:noWrap w:val="0"/>
            <w:vAlign w:val="center"/>
          </w:tcPr>
          <w:p w14:paraId="1C30FFC9">
            <w:pPr>
              <w:spacing w:line="400" w:lineRule="exact"/>
              <w:jc w:val="center"/>
              <w:rPr>
                <w:rFonts w:hint="eastAsia" w:ascii="仿宋_GB2312" w:eastAsia="仿宋_GB2312"/>
                <w:sz w:val="24"/>
              </w:rPr>
            </w:pPr>
            <w:r>
              <w:rPr>
                <w:rFonts w:hint="eastAsia" w:ascii="仿宋_GB2312" w:eastAsia="仿宋_GB2312"/>
                <w:sz w:val="24"/>
              </w:rPr>
              <w:t>亿美元</w:t>
            </w:r>
          </w:p>
        </w:tc>
        <w:tc>
          <w:tcPr>
            <w:tcW w:w="1357" w:type="dxa"/>
            <w:tcBorders>
              <w:top w:val="single" w:color="000000" w:sz="4" w:space="0"/>
              <w:left w:val="nil"/>
              <w:bottom w:val="single" w:color="000000" w:sz="4" w:space="0"/>
              <w:right w:val="single" w:color="000000" w:sz="4" w:space="0"/>
            </w:tcBorders>
            <w:noWrap w:val="0"/>
            <w:vAlign w:val="center"/>
          </w:tcPr>
          <w:p w14:paraId="59A17F28">
            <w:pPr>
              <w:spacing w:line="400" w:lineRule="exact"/>
              <w:jc w:val="center"/>
              <w:rPr>
                <w:rFonts w:hint="eastAsia" w:ascii="仿宋_GB2312" w:eastAsia="仿宋_GB2312"/>
                <w:sz w:val="24"/>
              </w:rPr>
            </w:pPr>
            <w:r>
              <w:rPr>
                <w:rFonts w:hint="eastAsia" w:ascii="仿宋_GB2312" w:eastAsia="仿宋_GB2312"/>
                <w:sz w:val="24"/>
              </w:rPr>
              <w:t>84.5</w:t>
            </w:r>
          </w:p>
        </w:tc>
        <w:tc>
          <w:tcPr>
            <w:tcW w:w="1080" w:type="dxa"/>
            <w:tcBorders>
              <w:top w:val="single" w:color="000000" w:sz="4" w:space="0"/>
              <w:left w:val="nil"/>
              <w:bottom w:val="single" w:color="000000" w:sz="4" w:space="0"/>
              <w:right w:val="single" w:color="000000" w:sz="4" w:space="0"/>
            </w:tcBorders>
            <w:noWrap w:val="0"/>
            <w:vAlign w:val="center"/>
          </w:tcPr>
          <w:p w14:paraId="0C503C10">
            <w:pPr>
              <w:spacing w:line="400" w:lineRule="exact"/>
              <w:jc w:val="center"/>
              <w:rPr>
                <w:rFonts w:hint="eastAsia" w:ascii="仿宋_GB2312" w:eastAsia="仿宋_GB2312"/>
                <w:sz w:val="24"/>
              </w:rPr>
            </w:pPr>
            <w:r>
              <w:rPr>
                <w:rFonts w:hint="eastAsia" w:ascii="仿宋_GB2312" w:eastAsia="仿宋_GB2312"/>
                <w:sz w:val="24"/>
              </w:rPr>
              <w:t>100</w:t>
            </w:r>
          </w:p>
        </w:tc>
        <w:tc>
          <w:tcPr>
            <w:tcW w:w="1440" w:type="dxa"/>
            <w:tcBorders>
              <w:top w:val="single" w:color="000000" w:sz="4" w:space="0"/>
              <w:left w:val="nil"/>
              <w:bottom w:val="single" w:color="000000" w:sz="4" w:space="0"/>
              <w:right w:val="single" w:color="000000" w:sz="4" w:space="0"/>
            </w:tcBorders>
            <w:noWrap w:val="0"/>
            <w:vAlign w:val="center"/>
          </w:tcPr>
          <w:p w14:paraId="5D28FE1E">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000000" w:sz="4" w:space="0"/>
              <w:left w:val="nil"/>
              <w:bottom w:val="single" w:color="000000" w:sz="4" w:space="0"/>
              <w:right w:val="single" w:color="000000" w:sz="4" w:space="0"/>
            </w:tcBorders>
            <w:noWrap w:val="0"/>
            <w:vAlign w:val="center"/>
          </w:tcPr>
          <w:p w14:paraId="7409647D">
            <w:pPr>
              <w:spacing w:line="400" w:lineRule="exact"/>
              <w:jc w:val="center"/>
              <w:rPr>
                <w:rFonts w:hint="eastAsia" w:ascii="仿宋_GB2312" w:eastAsia="仿宋_GB2312"/>
                <w:sz w:val="24"/>
              </w:rPr>
            </w:pPr>
            <w:r>
              <w:rPr>
                <w:rFonts w:hint="eastAsia" w:ascii="仿宋_GB2312" w:eastAsia="仿宋_GB2312"/>
                <w:sz w:val="24"/>
              </w:rPr>
              <w:t>预期性</w:t>
            </w:r>
          </w:p>
        </w:tc>
      </w:tr>
      <w:tr w14:paraId="238F0796">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1C49D25D">
            <w:pPr>
              <w:widowControl/>
              <w:spacing w:line="400" w:lineRule="exact"/>
              <w:jc w:val="left"/>
              <w:rPr>
                <w:rFonts w:hint="eastAsia" w:ascii="仿宋_GB2312" w:eastAsia="仿宋_GB2312"/>
                <w:kern w:val="0"/>
                <w:sz w:val="24"/>
              </w:rPr>
            </w:pPr>
          </w:p>
        </w:tc>
        <w:tc>
          <w:tcPr>
            <w:tcW w:w="496" w:type="dxa"/>
            <w:tcBorders>
              <w:top w:val="nil"/>
              <w:left w:val="nil"/>
              <w:right w:val="single" w:color="000000" w:sz="4" w:space="0"/>
            </w:tcBorders>
            <w:shd w:val="clear" w:color="auto" w:fill="auto"/>
            <w:noWrap w:val="0"/>
            <w:vAlign w:val="center"/>
          </w:tcPr>
          <w:p w14:paraId="20F5EBD7">
            <w:pPr>
              <w:spacing w:line="400" w:lineRule="exact"/>
              <w:jc w:val="center"/>
              <w:rPr>
                <w:rFonts w:hint="eastAsia" w:ascii="仿宋_GB2312" w:eastAsia="仿宋_GB2312"/>
                <w:sz w:val="24"/>
              </w:rPr>
            </w:pPr>
            <w:r>
              <w:rPr>
                <w:rFonts w:hint="eastAsia" w:ascii="仿宋_GB2312" w:eastAsia="仿宋_GB2312"/>
                <w:sz w:val="24"/>
              </w:rPr>
              <w:t>7</w:t>
            </w:r>
          </w:p>
        </w:tc>
        <w:tc>
          <w:tcPr>
            <w:tcW w:w="2979" w:type="dxa"/>
            <w:tcBorders>
              <w:top w:val="nil"/>
              <w:left w:val="nil"/>
              <w:bottom w:val="single" w:color="auto" w:sz="4" w:space="0"/>
              <w:right w:val="single" w:color="000000" w:sz="4" w:space="0"/>
            </w:tcBorders>
            <w:shd w:val="clear" w:color="auto" w:fill="auto"/>
            <w:noWrap w:val="0"/>
            <w:vAlign w:val="center"/>
          </w:tcPr>
          <w:p w14:paraId="2835D61A">
            <w:pPr>
              <w:spacing w:line="400" w:lineRule="exact"/>
              <w:rPr>
                <w:rFonts w:hint="eastAsia" w:ascii="仿宋_GB2312" w:eastAsia="仿宋_GB2312"/>
                <w:sz w:val="24"/>
              </w:rPr>
            </w:pPr>
            <w:r>
              <w:rPr>
                <w:rFonts w:hint="eastAsia" w:ascii="仿宋_GB2312" w:eastAsia="仿宋_GB2312"/>
                <w:sz w:val="24"/>
              </w:rPr>
              <w:t>外商直接投资五年累计</w:t>
            </w:r>
          </w:p>
        </w:tc>
        <w:tc>
          <w:tcPr>
            <w:tcW w:w="868" w:type="dxa"/>
            <w:tcBorders>
              <w:top w:val="single" w:color="000000" w:sz="4" w:space="0"/>
              <w:left w:val="nil"/>
              <w:bottom w:val="single" w:color="auto" w:sz="4" w:space="0"/>
              <w:right w:val="single" w:color="000000" w:sz="4" w:space="0"/>
            </w:tcBorders>
            <w:shd w:val="clear" w:color="auto" w:fill="auto"/>
            <w:noWrap w:val="0"/>
            <w:vAlign w:val="center"/>
          </w:tcPr>
          <w:p w14:paraId="7910B5E7">
            <w:pPr>
              <w:spacing w:line="400" w:lineRule="exact"/>
              <w:jc w:val="center"/>
              <w:rPr>
                <w:rFonts w:hint="eastAsia" w:ascii="仿宋_GB2312" w:eastAsia="仿宋_GB2312"/>
                <w:sz w:val="24"/>
              </w:rPr>
            </w:pPr>
            <w:r>
              <w:rPr>
                <w:rFonts w:hint="eastAsia" w:ascii="仿宋_GB2312" w:eastAsia="仿宋_GB2312"/>
                <w:sz w:val="24"/>
              </w:rPr>
              <w:t>亿美元</w:t>
            </w:r>
          </w:p>
        </w:tc>
        <w:tc>
          <w:tcPr>
            <w:tcW w:w="1357" w:type="dxa"/>
            <w:tcBorders>
              <w:top w:val="single" w:color="000000" w:sz="4" w:space="0"/>
              <w:left w:val="nil"/>
              <w:bottom w:val="single" w:color="000000" w:sz="4" w:space="0"/>
              <w:right w:val="single" w:color="000000" w:sz="4" w:space="0"/>
            </w:tcBorders>
            <w:shd w:val="clear" w:color="auto" w:fill="auto"/>
            <w:noWrap w:val="0"/>
            <w:vAlign w:val="center"/>
          </w:tcPr>
          <w:p w14:paraId="131F39DF">
            <w:pPr>
              <w:spacing w:line="400" w:lineRule="exact"/>
              <w:jc w:val="center"/>
              <w:rPr>
                <w:rFonts w:hint="eastAsia" w:ascii="仿宋_GB2312" w:eastAsia="仿宋_GB2312"/>
                <w:sz w:val="24"/>
              </w:rPr>
            </w:pPr>
            <w:r>
              <w:rPr>
                <w:rFonts w:hint="eastAsia" w:ascii="仿宋_GB2312" w:eastAsia="仿宋_GB2312"/>
                <w:sz w:val="24"/>
              </w:rPr>
              <w:t>0.63</w:t>
            </w:r>
          </w:p>
        </w:tc>
        <w:tc>
          <w:tcPr>
            <w:tcW w:w="1080" w:type="dxa"/>
            <w:tcBorders>
              <w:top w:val="nil"/>
              <w:left w:val="nil"/>
              <w:bottom w:val="single" w:color="auto" w:sz="4" w:space="0"/>
              <w:right w:val="single" w:color="000000" w:sz="4" w:space="0"/>
            </w:tcBorders>
            <w:noWrap w:val="0"/>
            <w:vAlign w:val="center"/>
          </w:tcPr>
          <w:p w14:paraId="205F9B83">
            <w:pPr>
              <w:spacing w:line="400" w:lineRule="exact"/>
              <w:jc w:val="center"/>
              <w:rPr>
                <w:rFonts w:hint="eastAsia" w:ascii="仿宋_GB2312" w:eastAsia="仿宋_GB2312"/>
                <w:sz w:val="24"/>
              </w:rPr>
            </w:pPr>
            <w:r>
              <w:rPr>
                <w:rFonts w:hint="eastAsia" w:ascii="仿宋_GB2312" w:eastAsia="仿宋_GB2312"/>
                <w:sz w:val="24"/>
              </w:rPr>
              <w:t>3</w:t>
            </w:r>
          </w:p>
        </w:tc>
        <w:tc>
          <w:tcPr>
            <w:tcW w:w="1440" w:type="dxa"/>
            <w:tcBorders>
              <w:top w:val="nil"/>
              <w:left w:val="nil"/>
              <w:bottom w:val="single" w:color="auto" w:sz="4" w:space="0"/>
              <w:right w:val="single" w:color="000000" w:sz="4" w:space="0"/>
            </w:tcBorders>
            <w:noWrap w:val="0"/>
            <w:vAlign w:val="center"/>
          </w:tcPr>
          <w:p w14:paraId="0120CCEC">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auto" w:sz="4" w:space="0"/>
              <w:right w:val="single" w:color="000000" w:sz="4" w:space="0"/>
            </w:tcBorders>
            <w:noWrap w:val="0"/>
            <w:vAlign w:val="center"/>
          </w:tcPr>
          <w:p w14:paraId="0A9915F7">
            <w:pPr>
              <w:spacing w:line="400" w:lineRule="exact"/>
              <w:jc w:val="center"/>
              <w:rPr>
                <w:rFonts w:hint="eastAsia" w:ascii="仿宋_GB2312" w:eastAsia="仿宋_GB2312"/>
                <w:sz w:val="24"/>
              </w:rPr>
            </w:pPr>
            <w:r>
              <w:rPr>
                <w:rFonts w:hint="eastAsia" w:ascii="仿宋_GB2312" w:eastAsia="仿宋_GB2312"/>
                <w:sz w:val="24"/>
              </w:rPr>
              <w:t>预期性</w:t>
            </w:r>
          </w:p>
        </w:tc>
      </w:tr>
      <w:tr w14:paraId="600C0FA5">
        <w:tblPrEx>
          <w:tblCellMar>
            <w:top w:w="0" w:type="dxa"/>
            <w:left w:w="108" w:type="dxa"/>
            <w:bottom w:w="0" w:type="dxa"/>
            <w:right w:w="108" w:type="dxa"/>
          </w:tblCellMar>
        </w:tblPrEx>
        <w:trPr>
          <w:wBefore w:w="0" w:type="dxa"/>
          <w:wAfter w:w="0" w:type="dxa"/>
          <w:trHeight w:val="806" w:hRule="exact"/>
          <w:jc w:val="center"/>
        </w:trPr>
        <w:tc>
          <w:tcPr>
            <w:tcW w:w="496" w:type="dxa"/>
            <w:vMerge w:val="restart"/>
            <w:tcBorders>
              <w:top w:val="single" w:color="auto" w:sz="4" w:space="0"/>
              <w:left w:val="single" w:color="000000" w:sz="4" w:space="0"/>
              <w:right w:val="single" w:color="000000" w:sz="4" w:space="0"/>
            </w:tcBorders>
            <w:shd w:val="clear" w:color="auto" w:fill="auto"/>
            <w:noWrap w:val="0"/>
            <w:vAlign w:val="center"/>
          </w:tcPr>
          <w:p w14:paraId="0AB2CF9B">
            <w:pPr>
              <w:spacing w:line="400" w:lineRule="exact"/>
              <w:jc w:val="center"/>
              <w:rPr>
                <w:rFonts w:hint="eastAsia" w:ascii="仿宋_GB2312" w:eastAsia="仿宋_GB2312"/>
                <w:kern w:val="0"/>
                <w:sz w:val="24"/>
              </w:rPr>
            </w:pPr>
            <w:r>
              <w:rPr>
                <w:rFonts w:hint="eastAsia" w:ascii="仿宋_GB2312" w:eastAsia="仿宋_GB2312"/>
                <w:kern w:val="0"/>
                <w:sz w:val="24"/>
              </w:rPr>
              <w:t>社会民生</w:t>
            </w:r>
          </w:p>
        </w:tc>
        <w:tc>
          <w:tcPr>
            <w:tcW w:w="496" w:type="dxa"/>
            <w:tcBorders>
              <w:top w:val="single" w:color="auto" w:sz="4" w:space="0"/>
              <w:left w:val="nil"/>
              <w:bottom w:val="single" w:color="auto" w:sz="4" w:space="0"/>
              <w:right w:val="single" w:color="000000" w:sz="4" w:space="0"/>
            </w:tcBorders>
            <w:shd w:val="clear" w:color="auto" w:fill="auto"/>
            <w:noWrap w:val="0"/>
            <w:vAlign w:val="center"/>
          </w:tcPr>
          <w:p w14:paraId="6FAFFF9C">
            <w:pPr>
              <w:widowControl/>
              <w:spacing w:line="400" w:lineRule="exact"/>
              <w:jc w:val="center"/>
              <w:rPr>
                <w:rFonts w:hint="eastAsia" w:ascii="仿宋_GB2312" w:eastAsia="仿宋_GB2312"/>
                <w:kern w:val="0"/>
                <w:sz w:val="24"/>
              </w:rPr>
            </w:pPr>
            <w:r>
              <w:rPr>
                <w:rFonts w:hint="eastAsia" w:ascii="仿宋_GB2312" w:eastAsia="仿宋_GB2312"/>
                <w:kern w:val="0"/>
                <w:sz w:val="24"/>
              </w:rPr>
              <w:t>8</w:t>
            </w:r>
          </w:p>
        </w:tc>
        <w:tc>
          <w:tcPr>
            <w:tcW w:w="2979" w:type="dxa"/>
            <w:tcBorders>
              <w:top w:val="single" w:color="auto" w:sz="4" w:space="0"/>
              <w:left w:val="nil"/>
              <w:bottom w:val="single" w:color="auto" w:sz="4" w:space="0"/>
              <w:right w:val="single" w:color="000000" w:sz="4" w:space="0"/>
            </w:tcBorders>
            <w:shd w:val="clear" w:color="auto" w:fill="auto"/>
            <w:noWrap w:val="0"/>
            <w:vAlign w:val="center"/>
          </w:tcPr>
          <w:p w14:paraId="7A66A2B1">
            <w:pPr>
              <w:spacing w:line="400" w:lineRule="exact"/>
              <w:rPr>
                <w:rFonts w:hint="eastAsia" w:ascii="仿宋_GB2312" w:eastAsia="仿宋_GB2312"/>
                <w:sz w:val="24"/>
              </w:rPr>
            </w:pPr>
            <w:r>
              <w:rPr>
                <w:rFonts w:hint="eastAsia" w:ascii="仿宋_GB2312" w:eastAsia="仿宋_GB2312"/>
                <w:sz w:val="24"/>
              </w:rPr>
              <w:t>城镇居民人均可支配收入</w:t>
            </w:r>
          </w:p>
        </w:tc>
        <w:tc>
          <w:tcPr>
            <w:tcW w:w="868" w:type="dxa"/>
            <w:tcBorders>
              <w:top w:val="single" w:color="auto" w:sz="4" w:space="0"/>
              <w:left w:val="nil"/>
              <w:bottom w:val="single" w:color="auto" w:sz="4" w:space="0"/>
              <w:right w:val="single" w:color="000000" w:sz="4" w:space="0"/>
            </w:tcBorders>
            <w:shd w:val="clear" w:color="auto" w:fill="auto"/>
            <w:noWrap w:val="0"/>
            <w:vAlign w:val="center"/>
          </w:tcPr>
          <w:p w14:paraId="4C022541">
            <w:pPr>
              <w:spacing w:line="400" w:lineRule="exact"/>
              <w:jc w:val="center"/>
              <w:rPr>
                <w:rFonts w:hint="eastAsia" w:ascii="仿宋_GB2312" w:eastAsia="仿宋_GB2312"/>
                <w:sz w:val="24"/>
              </w:rPr>
            </w:pPr>
            <w:r>
              <w:rPr>
                <w:rFonts w:hint="eastAsia" w:ascii="仿宋_GB2312" w:eastAsia="仿宋_GB2312"/>
                <w:sz w:val="24"/>
              </w:rPr>
              <w:t>元</w:t>
            </w:r>
          </w:p>
        </w:tc>
        <w:tc>
          <w:tcPr>
            <w:tcW w:w="1357" w:type="dxa"/>
            <w:tcBorders>
              <w:top w:val="single" w:color="000000" w:sz="4" w:space="0"/>
              <w:left w:val="nil"/>
              <w:bottom w:val="single" w:color="auto" w:sz="4" w:space="0"/>
              <w:right w:val="single" w:color="000000" w:sz="4" w:space="0"/>
            </w:tcBorders>
            <w:shd w:val="clear" w:color="auto" w:fill="auto"/>
            <w:noWrap w:val="0"/>
            <w:vAlign w:val="center"/>
          </w:tcPr>
          <w:p w14:paraId="2E6D6592">
            <w:pPr>
              <w:spacing w:line="400" w:lineRule="exact"/>
              <w:jc w:val="center"/>
              <w:rPr>
                <w:rFonts w:hint="eastAsia" w:ascii="仿宋_GB2312" w:eastAsia="仿宋_GB2312"/>
                <w:sz w:val="24"/>
              </w:rPr>
            </w:pPr>
            <w:r>
              <w:rPr>
                <w:rFonts w:hint="eastAsia" w:ascii="仿宋_GB2312" w:eastAsia="仿宋_GB2312"/>
                <w:sz w:val="24"/>
              </w:rPr>
              <w:t>38600</w:t>
            </w:r>
          </w:p>
        </w:tc>
        <w:tc>
          <w:tcPr>
            <w:tcW w:w="1080" w:type="dxa"/>
            <w:tcBorders>
              <w:top w:val="single" w:color="auto" w:sz="4" w:space="0"/>
              <w:left w:val="nil"/>
              <w:bottom w:val="single" w:color="auto" w:sz="4" w:space="0"/>
              <w:right w:val="single" w:color="000000" w:sz="4" w:space="0"/>
            </w:tcBorders>
            <w:noWrap w:val="0"/>
            <w:vAlign w:val="center"/>
          </w:tcPr>
          <w:p w14:paraId="753BBC3C">
            <w:pPr>
              <w:spacing w:line="400" w:lineRule="exact"/>
              <w:jc w:val="center"/>
              <w:rPr>
                <w:rFonts w:hint="eastAsia" w:ascii="仿宋_GB2312" w:eastAsia="仿宋_GB2312"/>
                <w:sz w:val="24"/>
              </w:rPr>
            </w:pPr>
            <w:r>
              <w:rPr>
                <w:rFonts w:hint="eastAsia" w:ascii="仿宋_GB2312" w:eastAsia="仿宋_GB2312"/>
                <w:sz w:val="24"/>
              </w:rPr>
              <w:t>高于全市</w:t>
            </w:r>
          </w:p>
          <w:p w14:paraId="03E8A4D2">
            <w:pPr>
              <w:spacing w:line="400" w:lineRule="exact"/>
              <w:jc w:val="center"/>
              <w:rPr>
                <w:rFonts w:hint="eastAsia" w:ascii="仿宋_GB2312" w:eastAsia="仿宋_GB2312"/>
                <w:sz w:val="24"/>
              </w:rPr>
            </w:pPr>
            <w:r>
              <w:rPr>
                <w:rFonts w:hint="eastAsia" w:ascii="仿宋_GB2312" w:eastAsia="仿宋_GB2312"/>
                <w:sz w:val="24"/>
              </w:rPr>
              <w:t>平均水平</w:t>
            </w:r>
          </w:p>
        </w:tc>
        <w:tc>
          <w:tcPr>
            <w:tcW w:w="1440" w:type="dxa"/>
            <w:tcBorders>
              <w:top w:val="single" w:color="auto" w:sz="4" w:space="0"/>
              <w:left w:val="nil"/>
              <w:bottom w:val="single" w:color="auto" w:sz="4" w:space="0"/>
              <w:right w:val="single" w:color="000000" w:sz="4" w:space="0"/>
            </w:tcBorders>
            <w:noWrap w:val="0"/>
            <w:vAlign w:val="center"/>
          </w:tcPr>
          <w:p w14:paraId="345ACA7E">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auto" w:sz="4" w:space="0"/>
              <w:left w:val="nil"/>
              <w:bottom w:val="single" w:color="auto" w:sz="4" w:space="0"/>
              <w:right w:val="single" w:color="000000" w:sz="4" w:space="0"/>
            </w:tcBorders>
            <w:noWrap w:val="0"/>
            <w:vAlign w:val="center"/>
          </w:tcPr>
          <w:p w14:paraId="607B325E">
            <w:pPr>
              <w:spacing w:line="400" w:lineRule="exact"/>
              <w:jc w:val="center"/>
              <w:rPr>
                <w:rFonts w:hint="eastAsia" w:ascii="仿宋_GB2312" w:eastAsia="仿宋_GB2312"/>
                <w:sz w:val="24"/>
              </w:rPr>
            </w:pPr>
            <w:r>
              <w:rPr>
                <w:rFonts w:hint="eastAsia" w:ascii="仿宋_GB2312" w:eastAsia="仿宋_GB2312"/>
                <w:sz w:val="24"/>
              </w:rPr>
              <w:t>预期性</w:t>
            </w:r>
          </w:p>
        </w:tc>
      </w:tr>
      <w:tr w14:paraId="1A2959B2">
        <w:tblPrEx>
          <w:tblCellMar>
            <w:top w:w="0" w:type="dxa"/>
            <w:left w:w="108" w:type="dxa"/>
            <w:bottom w:w="0" w:type="dxa"/>
            <w:right w:w="108" w:type="dxa"/>
          </w:tblCellMar>
        </w:tblPrEx>
        <w:trPr>
          <w:wBefore w:w="0" w:type="dxa"/>
          <w:wAfter w:w="0" w:type="dxa"/>
          <w:trHeight w:val="877" w:hRule="exact"/>
          <w:jc w:val="center"/>
        </w:trPr>
        <w:tc>
          <w:tcPr>
            <w:tcW w:w="496" w:type="dxa"/>
            <w:vMerge w:val="continue"/>
            <w:tcBorders>
              <w:top w:val="single" w:color="auto" w:sz="4" w:space="0"/>
              <w:left w:val="single" w:color="000000" w:sz="4" w:space="0"/>
              <w:right w:val="single" w:color="000000" w:sz="4" w:space="0"/>
            </w:tcBorders>
            <w:shd w:val="clear" w:color="auto" w:fill="auto"/>
            <w:noWrap w:val="0"/>
            <w:vAlign w:val="center"/>
          </w:tcPr>
          <w:p w14:paraId="36010166">
            <w:pPr>
              <w:spacing w:line="400" w:lineRule="exact"/>
              <w:jc w:val="center"/>
              <w:rPr>
                <w:rFonts w:hint="eastAsia" w:ascii="仿宋_GB2312" w:eastAsia="仿宋_GB2312"/>
                <w:kern w:val="0"/>
                <w:sz w:val="24"/>
              </w:rPr>
            </w:pPr>
          </w:p>
        </w:tc>
        <w:tc>
          <w:tcPr>
            <w:tcW w:w="496" w:type="dxa"/>
            <w:tcBorders>
              <w:top w:val="single" w:color="auto" w:sz="4" w:space="0"/>
              <w:left w:val="nil"/>
              <w:bottom w:val="single" w:color="auto" w:sz="4" w:space="0"/>
              <w:right w:val="single" w:color="000000" w:sz="4" w:space="0"/>
            </w:tcBorders>
            <w:shd w:val="clear" w:color="auto" w:fill="auto"/>
            <w:noWrap w:val="0"/>
            <w:vAlign w:val="center"/>
          </w:tcPr>
          <w:p w14:paraId="4A2D944E">
            <w:pPr>
              <w:widowControl/>
              <w:spacing w:line="400" w:lineRule="exact"/>
              <w:jc w:val="center"/>
              <w:rPr>
                <w:rFonts w:hint="eastAsia" w:ascii="仿宋_GB2312" w:eastAsia="仿宋_GB2312"/>
                <w:kern w:val="0"/>
                <w:sz w:val="24"/>
              </w:rPr>
            </w:pPr>
            <w:r>
              <w:rPr>
                <w:rFonts w:hint="eastAsia" w:ascii="仿宋_GB2312" w:eastAsia="仿宋_GB2312"/>
                <w:kern w:val="0"/>
                <w:sz w:val="24"/>
              </w:rPr>
              <w:t>9</w:t>
            </w:r>
          </w:p>
        </w:tc>
        <w:tc>
          <w:tcPr>
            <w:tcW w:w="2979" w:type="dxa"/>
            <w:tcBorders>
              <w:top w:val="nil"/>
              <w:left w:val="nil"/>
              <w:bottom w:val="single" w:color="auto" w:sz="4" w:space="0"/>
              <w:right w:val="single" w:color="000000" w:sz="4" w:space="0"/>
            </w:tcBorders>
            <w:shd w:val="clear" w:color="auto" w:fill="auto"/>
            <w:noWrap w:val="0"/>
            <w:vAlign w:val="center"/>
          </w:tcPr>
          <w:p w14:paraId="349A551D">
            <w:pPr>
              <w:spacing w:line="400" w:lineRule="exact"/>
              <w:rPr>
                <w:rFonts w:hint="eastAsia" w:ascii="仿宋_GB2312" w:eastAsia="仿宋_GB2312"/>
                <w:sz w:val="24"/>
              </w:rPr>
            </w:pPr>
            <w:r>
              <w:rPr>
                <w:rFonts w:hint="eastAsia" w:ascii="仿宋_GB2312" w:eastAsia="仿宋_GB2312"/>
                <w:sz w:val="24"/>
              </w:rPr>
              <w:t>学区内学生义务教育巩固率</w:t>
            </w:r>
          </w:p>
        </w:tc>
        <w:tc>
          <w:tcPr>
            <w:tcW w:w="868" w:type="dxa"/>
            <w:tcBorders>
              <w:top w:val="nil"/>
              <w:left w:val="nil"/>
              <w:bottom w:val="single" w:color="auto" w:sz="4" w:space="0"/>
              <w:right w:val="single" w:color="000000" w:sz="4" w:space="0"/>
            </w:tcBorders>
            <w:shd w:val="clear" w:color="auto" w:fill="auto"/>
            <w:noWrap w:val="0"/>
            <w:vAlign w:val="center"/>
          </w:tcPr>
          <w:p w14:paraId="1050F01E">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single" w:color="000000" w:sz="4" w:space="0"/>
              <w:left w:val="nil"/>
              <w:bottom w:val="single" w:color="auto" w:sz="4" w:space="0"/>
              <w:right w:val="single" w:color="000000" w:sz="4" w:space="0"/>
            </w:tcBorders>
            <w:shd w:val="clear" w:color="auto" w:fill="auto"/>
            <w:noWrap w:val="0"/>
            <w:vAlign w:val="center"/>
          </w:tcPr>
          <w:p w14:paraId="49703385">
            <w:pPr>
              <w:spacing w:line="400" w:lineRule="exact"/>
              <w:jc w:val="center"/>
              <w:rPr>
                <w:rFonts w:hint="eastAsia" w:ascii="仿宋_GB2312" w:eastAsia="仿宋_GB2312"/>
                <w:sz w:val="24"/>
              </w:rPr>
            </w:pPr>
            <w:r>
              <w:rPr>
                <w:rFonts w:hint="eastAsia" w:ascii="仿宋_GB2312" w:eastAsia="仿宋_GB2312"/>
                <w:sz w:val="24"/>
              </w:rPr>
              <w:t>98.3</w:t>
            </w:r>
          </w:p>
        </w:tc>
        <w:tc>
          <w:tcPr>
            <w:tcW w:w="1080" w:type="dxa"/>
            <w:tcBorders>
              <w:top w:val="nil"/>
              <w:left w:val="nil"/>
              <w:bottom w:val="single" w:color="auto" w:sz="4" w:space="0"/>
              <w:right w:val="single" w:color="000000" w:sz="4" w:space="0"/>
            </w:tcBorders>
            <w:noWrap w:val="0"/>
            <w:vAlign w:val="center"/>
          </w:tcPr>
          <w:p w14:paraId="4C93E330">
            <w:pPr>
              <w:spacing w:line="400" w:lineRule="exact"/>
              <w:jc w:val="center"/>
              <w:rPr>
                <w:rFonts w:hint="eastAsia" w:ascii="仿宋_GB2312" w:eastAsia="仿宋_GB2312"/>
                <w:sz w:val="24"/>
              </w:rPr>
            </w:pPr>
            <w:r>
              <w:rPr>
                <w:rFonts w:hint="eastAsia" w:ascii="仿宋_GB2312" w:eastAsia="仿宋_GB2312"/>
                <w:sz w:val="24"/>
              </w:rPr>
              <w:t>99.5</w:t>
            </w:r>
          </w:p>
        </w:tc>
        <w:tc>
          <w:tcPr>
            <w:tcW w:w="1440" w:type="dxa"/>
            <w:tcBorders>
              <w:top w:val="nil"/>
              <w:left w:val="nil"/>
              <w:bottom w:val="single" w:color="auto" w:sz="4" w:space="0"/>
              <w:right w:val="single" w:color="000000" w:sz="4" w:space="0"/>
            </w:tcBorders>
            <w:noWrap w:val="0"/>
            <w:vAlign w:val="center"/>
          </w:tcPr>
          <w:p w14:paraId="16A69626">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auto" w:sz="4" w:space="0"/>
              <w:right w:val="single" w:color="000000" w:sz="4" w:space="0"/>
            </w:tcBorders>
            <w:noWrap w:val="0"/>
            <w:vAlign w:val="center"/>
          </w:tcPr>
          <w:p w14:paraId="7ADE2099">
            <w:pPr>
              <w:spacing w:line="400" w:lineRule="exact"/>
              <w:jc w:val="center"/>
              <w:rPr>
                <w:rFonts w:hint="eastAsia" w:ascii="仿宋_GB2312" w:eastAsia="仿宋_GB2312"/>
                <w:sz w:val="24"/>
              </w:rPr>
            </w:pPr>
            <w:r>
              <w:rPr>
                <w:rFonts w:hint="eastAsia" w:ascii="仿宋_GB2312" w:eastAsia="仿宋_GB2312"/>
                <w:sz w:val="24"/>
              </w:rPr>
              <w:t>约束性</w:t>
            </w:r>
          </w:p>
        </w:tc>
      </w:tr>
      <w:tr w14:paraId="71096449">
        <w:tblPrEx>
          <w:tblCellMar>
            <w:top w:w="0" w:type="dxa"/>
            <w:left w:w="108" w:type="dxa"/>
            <w:bottom w:w="0" w:type="dxa"/>
            <w:right w:w="108" w:type="dxa"/>
          </w:tblCellMar>
        </w:tblPrEx>
        <w:trPr>
          <w:wBefore w:w="0" w:type="dxa"/>
          <w:wAfter w:w="0" w:type="dxa"/>
          <w:trHeight w:val="776" w:hRule="exact"/>
          <w:jc w:val="center"/>
        </w:trPr>
        <w:tc>
          <w:tcPr>
            <w:tcW w:w="496" w:type="dxa"/>
            <w:vMerge w:val="continue"/>
            <w:tcBorders>
              <w:left w:val="single" w:color="000000" w:sz="4" w:space="0"/>
              <w:right w:val="single" w:color="000000" w:sz="4" w:space="0"/>
            </w:tcBorders>
            <w:shd w:val="clear" w:color="auto" w:fill="auto"/>
            <w:noWrap w:val="0"/>
            <w:vAlign w:val="center"/>
          </w:tcPr>
          <w:p w14:paraId="491568E9">
            <w:pPr>
              <w:spacing w:line="400" w:lineRule="exact"/>
              <w:jc w:val="center"/>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shd w:val="clear" w:color="auto" w:fill="auto"/>
            <w:noWrap w:val="0"/>
            <w:vAlign w:val="center"/>
          </w:tcPr>
          <w:p w14:paraId="00A7035C">
            <w:pPr>
              <w:widowControl/>
              <w:spacing w:line="400" w:lineRule="exact"/>
              <w:jc w:val="center"/>
              <w:rPr>
                <w:rFonts w:hint="eastAsia" w:ascii="仿宋_GB2312" w:eastAsia="仿宋_GB2312"/>
                <w:kern w:val="0"/>
                <w:sz w:val="24"/>
              </w:rPr>
            </w:pPr>
            <w:r>
              <w:rPr>
                <w:rFonts w:hint="eastAsia" w:ascii="仿宋_GB2312" w:eastAsia="仿宋_GB2312"/>
                <w:kern w:val="0"/>
                <w:sz w:val="24"/>
              </w:rPr>
              <w:t>10</w:t>
            </w:r>
          </w:p>
        </w:tc>
        <w:tc>
          <w:tcPr>
            <w:tcW w:w="2979" w:type="dxa"/>
            <w:tcBorders>
              <w:top w:val="nil"/>
              <w:left w:val="nil"/>
              <w:bottom w:val="single" w:color="000000" w:sz="4" w:space="0"/>
              <w:right w:val="single" w:color="000000" w:sz="4" w:space="0"/>
            </w:tcBorders>
            <w:shd w:val="clear" w:color="auto" w:fill="auto"/>
            <w:noWrap w:val="0"/>
            <w:vAlign w:val="center"/>
          </w:tcPr>
          <w:p w14:paraId="0F017FD6">
            <w:pPr>
              <w:spacing w:line="400" w:lineRule="exact"/>
              <w:rPr>
                <w:rFonts w:hint="eastAsia" w:ascii="仿宋_GB2312" w:eastAsia="仿宋_GB2312"/>
                <w:sz w:val="24"/>
              </w:rPr>
            </w:pPr>
            <w:r>
              <w:rPr>
                <w:rFonts w:hint="eastAsia" w:ascii="仿宋_GB2312" w:eastAsia="仿宋_GB2312"/>
                <w:sz w:val="24"/>
              </w:rPr>
              <w:t>普惠性幼儿园在园幼儿比例</w:t>
            </w:r>
          </w:p>
        </w:tc>
        <w:tc>
          <w:tcPr>
            <w:tcW w:w="868" w:type="dxa"/>
            <w:tcBorders>
              <w:top w:val="nil"/>
              <w:left w:val="nil"/>
              <w:bottom w:val="single" w:color="000000" w:sz="4" w:space="0"/>
              <w:right w:val="single" w:color="000000" w:sz="4" w:space="0"/>
            </w:tcBorders>
            <w:shd w:val="clear" w:color="auto" w:fill="auto"/>
            <w:noWrap w:val="0"/>
            <w:vAlign w:val="center"/>
          </w:tcPr>
          <w:p w14:paraId="670D5B70">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nil"/>
              <w:left w:val="nil"/>
              <w:bottom w:val="single" w:color="000000" w:sz="4" w:space="0"/>
              <w:right w:val="single" w:color="000000" w:sz="4" w:space="0"/>
            </w:tcBorders>
            <w:shd w:val="clear" w:color="auto" w:fill="auto"/>
            <w:noWrap w:val="0"/>
            <w:vAlign w:val="center"/>
          </w:tcPr>
          <w:p w14:paraId="112A7AE9">
            <w:pPr>
              <w:spacing w:line="400" w:lineRule="exact"/>
              <w:jc w:val="center"/>
              <w:rPr>
                <w:rFonts w:hint="eastAsia" w:ascii="仿宋_GB2312" w:eastAsia="仿宋_GB2312"/>
                <w:sz w:val="24"/>
              </w:rPr>
            </w:pPr>
            <w:r>
              <w:rPr>
                <w:rFonts w:hint="eastAsia" w:ascii="仿宋_GB2312" w:eastAsia="仿宋_GB2312"/>
                <w:sz w:val="24"/>
              </w:rPr>
              <w:t>63</w:t>
            </w:r>
          </w:p>
        </w:tc>
        <w:tc>
          <w:tcPr>
            <w:tcW w:w="1080" w:type="dxa"/>
            <w:tcBorders>
              <w:top w:val="nil"/>
              <w:left w:val="nil"/>
              <w:bottom w:val="single" w:color="000000" w:sz="4" w:space="0"/>
              <w:right w:val="single" w:color="000000" w:sz="4" w:space="0"/>
            </w:tcBorders>
            <w:noWrap w:val="0"/>
            <w:vAlign w:val="center"/>
          </w:tcPr>
          <w:p w14:paraId="54A48077">
            <w:pPr>
              <w:spacing w:line="400" w:lineRule="exact"/>
              <w:jc w:val="center"/>
              <w:rPr>
                <w:rFonts w:hint="eastAsia" w:ascii="仿宋_GB2312" w:eastAsia="仿宋_GB2312"/>
                <w:sz w:val="24"/>
              </w:rPr>
            </w:pPr>
            <w:r>
              <w:rPr>
                <w:rFonts w:hint="eastAsia" w:ascii="仿宋_GB2312" w:eastAsia="仿宋_GB2312"/>
                <w:sz w:val="24"/>
              </w:rPr>
              <w:t>80</w:t>
            </w:r>
          </w:p>
        </w:tc>
        <w:tc>
          <w:tcPr>
            <w:tcW w:w="1440" w:type="dxa"/>
            <w:tcBorders>
              <w:top w:val="nil"/>
              <w:left w:val="nil"/>
              <w:bottom w:val="single" w:color="000000" w:sz="4" w:space="0"/>
              <w:right w:val="single" w:color="000000" w:sz="4" w:space="0"/>
            </w:tcBorders>
            <w:noWrap w:val="0"/>
            <w:vAlign w:val="center"/>
          </w:tcPr>
          <w:p w14:paraId="5BDE800A">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3A6C1AB8">
            <w:pPr>
              <w:spacing w:line="400" w:lineRule="exact"/>
              <w:jc w:val="center"/>
              <w:rPr>
                <w:rFonts w:hint="eastAsia" w:ascii="仿宋_GB2312" w:eastAsia="仿宋_GB2312"/>
                <w:sz w:val="24"/>
              </w:rPr>
            </w:pPr>
            <w:r>
              <w:rPr>
                <w:rFonts w:hint="eastAsia" w:ascii="仿宋_GB2312" w:eastAsia="仿宋_GB2312"/>
                <w:sz w:val="24"/>
              </w:rPr>
              <w:t>预期性</w:t>
            </w:r>
          </w:p>
        </w:tc>
      </w:tr>
      <w:tr w14:paraId="54F0D4DE">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right w:val="single" w:color="000000" w:sz="4" w:space="0"/>
            </w:tcBorders>
            <w:shd w:val="clear" w:color="auto" w:fill="auto"/>
            <w:noWrap w:val="0"/>
            <w:vAlign w:val="center"/>
          </w:tcPr>
          <w:p w14:paraId="389D000C">
            <w:pPr>
              <w:spacing w:line="400" w:lineRule="exact"/>
              <w:jc w:val="center"/>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shd w:val="clear" w:color="auto" w:fill="auto"/>
            <w:noWrap w:val="0"/>
            <w:vAlign w:val="center"/>
          </w:tcPr>
          <w:p w14:paraId="7803B7D5">
            <w:pPr>
              <w:widowControl/>
              <w:spacing w:line="400" w:lineRule="exact"/>
              <w:jc w:val="center"/>
              <w:rPr>
                <w:rFonts w:hint="eastAsia" w:ascii="仿宋_GB2312" w:eastAsia="仿宋_GB2312"/>
                <w:kern w:val="0"/>
                <w:sz w:val="24"/>
              </w:rPr>
            </w:pPr>
            <w:r>
              <w:rPr>
                <w:rFonts w:hint="eastAsia" w:ascii="仿宋_GB2312" w:eastAsia="仿宋_GB2312"/>
                <w:kern w:val="0"/>
                <w:sz w:val="24"/>
              </w:rPr>
              <w:t>11</w:t>
            </w:r>
          </w:p>
        </w:tc>
        <w:tc>
          <w:tcPr>
            <w:tcW w:w="2979" w:type="dxa"/>
            <w:tcBorders>
              <w:top w:val="nil"/>
              <w:left w:val="nil"/>
              <w:bottom w:val="single" w:color="000000" w:sz="4" w:space="0"/>
              <w:right w:val="single" w:color="000000" w:sz="4" w:space="0"/>
            </w:tcBorders>
            <w:shd w:val="clear" w:color="auto" w:fill="auto"/>
            <w:noWrap w:val="0"/>
            <w:vAlign w:val="center"/>
          </w:tcPr>
          <w:p w14:paraId="7572ED0B">
            <w:pPr>
              <w:spacing w:line="400" w:lineRule="exact"/>
              <w:rPr>
                <w:rFonts w:hint="eastAsia" w:ascii="仿宋_GB2312" w:eastAsia="仿宋_GB2312"/>
                <w:sz w:val="24"/>
              </w:rPr>
            </w:pPr>
            <w:r>
              <w:rPr>
                <w:rFonts w:hint="eastAsia" w:ascii="仿宋_GB2312" w:eastAsia="仿宋_GB2312"/>
                <w:sz w:val="24"/>
              </w:rPr>
              <w:t>城镇新增就业五年累计</w:t>
            </w:r>
          </w:p>
        </w:tc>
        <w:tc>
          <w:tcPr>
            <w:tcW w:w="868" w:type="dxa"/>
            <w:tcBorders>
              <w:top w:val="single" w:color="000000" w:sz="4" w:space="0"/>
              <w:left w:val="nil"/>
              <w:bottom w:val="single" w:color="000000" w:sz="4" w:space="0"/>
              <w:right w:val="single" w:color="000000" w:sz="4" w:space="0"/>
            </w:tcBorders>
            <w:shd w:val="clear" w:color="auto" w:fill="auto"/>
            <w:noWrap w:val="0"/>
            <w:vAlign w:val="center"/>
          </w:tcPr>
          <w:p w14:paraId="2B547535">
            <w:pPr>
              <w:spacing w:line="400" w:lineRule="exact"/>
              <w:jc w:val="center"/>
              <w:rPr>
                <w:rFonts w:hint="eastAsia" w:ascii="仿宋_GB2312" w:eastAsia="仿宋_GB2312"/>
                <w:sz w:val="24"/>
              </w:rPr>
            </w:pPr>
            <w:r>
              <w:rPr>
                <w:rFonts w:hint="eastAsia" w:ascii="仿宋_GB2312" w:eastAsia="仿宋_GB2312"/>
                <w:sz w:val="24"/>
              </w:rPr>
              <w:t>人</w:t>
            </w:r>
          </w:p>
        </w:tc>
        <w:tc>
          <w:tcPr>
            <w:tcW w:w="1357" w:type="dxa"/>
            <w:tcBorders>
              <w:top w:val="nil"/>
              <w:left w:val="nil"/>
              <w:bottom w:val="single" w:color="000000" w:sz="4" w:space="0"/>
              <w:right w:val="single" w:color="000000" w:sz="4" w:space="0"/>
            </w:tcBorders>
            <w:shd w:val="clear" w:color="auto" w:fill="auto"/>
            <w:noWrap w:val="0"/>
            <w:vAlign w:val="center"/>
          </w:tcPr>
          <w:p w14:paraId="1AD41B73">
            <w:pPr>
              <w:spacing w:line="400" w:lineRule="exact"/>
              <w:jc w:val="center"/>
              <w:rPr>
                <w:rFonts w:hint="eastAsia" w:ascii="仿宋_GB2312" w:eastAsia="仿宋_GB2312"/>
                <w:sz w:val="24"/>
              </w:rPr>
            </w:pPr>
            <w:r>
              <w:rPr>
                <w:rFonts w:hint="eastAsia" w:ascii="仿宋_GB2312" w:eastAsia="仿宋_GB2312"/>
                <w:sz w:val="24"/>
              </w:rPr>
              <w:t>—</w:t>
            </w:r>
          </w:p>
        </w:tc>
        <w:tc>
          <w:tcPr>
            <w:tcW w:w="1080" w:type="dxa"/>
            <w:tcBorders>
              <w:top w:val="nil"/>
              <w:left w:val="nil"/>
              <w:bottom w:val="single" w:color="000000" w:sz="4" w:space="0"/>
              <w:right w:val="single" w:color="000000" w:sz="4" w:space="0"/>
            </w:tcBorders>
            <w:noWrap w:val="0"/>
            <w:vAlign w:val="center"/>
          </w:tcPr>
          <w:p w14:paraId="51AA5DCA">
            <w:pPr>
              <w:spacing w:line="400" w:lineRule="exact"/>
              <w:jc w:val="center"/>
              <w:rPr>
                <w:rFonts w:hint="eastAsia" w:ascii="仿宋_GB2312" w:eastAsia="仿宋_GB2312"/>
                <w:sz w:val="24"/>
              </w:rPr>
            </w:pPr>
            <w:r>
              <w:rPr>
                <w:rFonts w:hint="eastAsia" w:ascii="仿宋_GB2312" w:eastAsia="仿宋_GB2312"/>
                <w:sz w:val="24"/>
              </w:rPr>
              <w:t>32850</w:t>
            </w:r>
          </w:p>
        </w:tc>
        <w:tc>
          <w:tcPr>
            <w:tcW w:w="1440" w:type="dxa"/>
            <w:tcBorders>
              <w:top w:val="nil"/>
              <w:left w:val="nil"/>
              <w:bottom w:val="single" w:color="000000" w:sz="4" w:space="0"/>
              <w:right w:val="single" w:color="000000" w:sz="4" w:space="0"/>
            </w:tcBorders>
            <w:noWrap w:val="0"/>
            <w:vAlign w:val="center"/>
          </w:tcPr>
          <w:p w14:paraId="6ADE9F64">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77303397">
            <w:pPr>
              <w:spacing w:line="400" w:lineRule="exact"/>
              <w:jc w:val="center"/>
              <w:rPr>
                <w:rFonts w:hint="eastAsia" w:ascii="仿宋_GB2312" w:eastAsia="仿宋_GB2312"/>
                <w:sz w:val="24"/>
              </w:rPr>
            </w:pPr>
            <w:r>
              <w:rPr>
                <w:rFonts w:hint="eastAsia" w:ascii="仿宋_GB2312" w:eastAsia="仿宋_GB2312"/>
                <w:sz w:val="24"/>
              </w:rPr>
              <w:t>预期性</w:t>
            </w:r>
          </w:p>
        </w:tc>
      </w:tr>
      <w:tr w14:paraId="435E0250">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right w:val="single" w:color="000000" w:sz="4" w:space="0"/>
            </w:tcBorders>
            <w:noWrap w:val="0"/>
            <w:vAlign w:val="center"/>
          </w:tcPr>
          <w:p w14:paraId="71E48831">
            <w:pPr>
              <w:spacing w:line="400" w:lineRule="exact"/>
              <w:jc w:val="center"/>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59D382C2">
            <w:pPr>
              <w:widowControl/>
              <w:spacing w:line="400" w:lineRule="exact"/>
              <w:jc w:val="center"/>
              <w:rPr>
                <w:rFonts w:hint="eastAsia" w:ascii="仿宋_GB2312" w:eastAsia="仿宋_GB2312"/>
                <w:kern w:val="0"/>
                <w:sz w:val="24"/>
              </w:rPr>
            </w:pPr>
            <w:r>
              <w:rPr>
                <w:rFonts w:hint="eastAsia" w:ascii="仿宋_GB2312" w:eastAsia="仿宋_GB2312"/>
                <w:kern w:val="0"/>
                <w:sz w:val="24"/>
              </w:rPr>
              <w:t>12</w:t>
            </w:r>
          </w:p>
        </w:tc>
        <w:tc>
          <w:tcPr>
            <w:tcW w:w="2979" w:type="dxa"/>
            <w:tcBorders>
              <w:top w:val="nil"/>
              <w:left w:val="nil"/>
              <w:bottom w:val="single" w:color="000000" w:sz="4" w:space="0"/>
              <w:right w:val="single" w:color="000000" w:sz="4" w:space="0"/>
            </w:tcBorders>
            <w:noWrap w:val="0"/>
            <w:vAlign w:val="center"/>
          </w:tcPr>
          <w:p w14:paraId="1915D4E7">
            <w:pPr>
              <w:spacing w:line="400" w:lineRule="exact"/>
              <w:rPr>
                <w:rFonts w:hint="eastAsia" w:ascii="仿宋_GB2312" w:eastAsia="仿宋_GB2312"/>
                <w:sz w:val="24"/>
              </w:rPr>
            </w:pPr>
            <w:r>
              <w:rPr>
                <w:rFonts w:hint="eastAsia" w:ascii="仿宋_GB2312" w:eastAsia="仿宋_GB2312"/>
                <w:sz w:val="24"/>
              </w:rPr>
              <w:t>城镇登记失业率</w:t>
            </w:r>
          </w:p>
        </w:tc>
        <w:tc>
          <w:tcPr>
            <w:tcW w:w="868" w:type="dxa"/>
            <w:tcBorders>
              <w:top w:val="nil"/>
              <w:left w:val="nil"/>
              <w:bottom w:val="single" w:color="000000" w:sz="4" w:space="0"/>
              <w:right w:val="single" w:color="000000" w:sz="4" w:space="0"/>
            </w:tcBorders>
            <w:noWrap w:val="0"/>
            <w:vAlign w:val="center"/>
          </w:tcPr>
          <w:p w14:paraId="7943D2D7">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nil"/>
              <w:left w:val="nil"/>
              <w:bottom w:val="single" w:color="000000" w:sz="4" w:space="0"/>
              <w:right w:val="single" w:color="000000" w:sz="4" w:space="0"/>
            </w:tcBorders>
            <w:noWrap w:val="0"/>
            <w:vAlign w:val="center"/>
          </w:tcPr>
          <w:p w14:paraId="4A6FFAD1">
            <w:pPr>
              <w:spacing w:line="400" w:lineRule="exact"/>
              <w:jc w:val="center"/>
              <w:rPr>
                <w:rFonts w:hint="eastAsia" w:ascii="仿宋_GB2312" w:eastAsia="仿宋_GB2312"/>
                <w:sz w:val="24"/>
              </w:rPr>
            </w:pPr>
            <w:r>
              <w:rPr>
                <w:rFonts w:hint="eastAsia" w:ascii="仿宋_GB2312" w:eastAsia="仿宋_GB2312"/>
                <w:sz w:val="24"/>
              </w:rPr>
              <w:t>2.56</w:t>
            </w:r>
          </w:p>
        </w:tc>
        <w:tc>
          <w:tcPr>
            <w:tcW w:w="1080" w:type="dxa"/>
            <w:tcBorders>
              <w:top w:val="nil"/>
              <w:left w:val="nil"/>
              <w:bottom w:val="single" w:color="000000" w:sz="4" w:space="0"/>
              <w:right w:val="single" w:color="000000" w:sz="4" w:space="0"/>
            </w:tcBorders>
            <w:noWrap w:val="0"/>
            <w:vAlign w:val="center"/>
          </w:tcPr>
          <w:p w14:paraId="03143768">
            <w:pPr>
              <w:spacing w:line="400" w:lineRule="exact"/>
              <w:jc w:val="center"/>
              <w:rPr>
                <w:rFonts w:hint="eastAsia" w:ascii="仿宋_GB2312" w:eastAsia="仿宋_GB2312"/>
                <w:sz w:val="24"/>
              </w:rPr>
            </w:pPr>
            <w:r>
              <w:rPr>
                <w:rFonts w:hint="eastAsia" w:ascii="仿宋_GB2312" w:eastAsia="仿宋_GB2312"/>
                <w:sz w:val="24"/>
              </w:rPr>
              <w:t xml:space="preserve">&lt;3 </w:t>
            </w:r>
          </w:p>
        </w:tc>
        <w:tc>
          <w:tcPr>
            <w:tcW w:w="1440" w:type="dxa"/>
            <w:tcBorders>
              <w:top w:val="nil"/>
              <w:left w:val="nil"/>
              <w:bottom w:val="single" w:color="000000" w:sz="4" w:space="0"/>
              <w:right w:val="single" w:color="000000" w:sz="4" w:space="0"/>
            </w:tcBorders>
            <w:noWrap w:val="0"/>
            <w:vAlign w:val="center"/>
          </w:tcPr>
          <w:p w14:paraId="4AD1E55C">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559D3F6A">
            <w:pPr>
              <w:spacing w:line="400" w:lineRule="exact"/>
              <w:jc w:val="center"/>
              <w:rPr>
                <w:rFonts w:hint="eastAsia" w:ascii="仿宋_GB2312" w:eastAsia="仿宋_GB2312"/>
                <w:sz w:val="24"/>
              </w:rPr>
            </w:pPr>
            <w:r>
              <w:rPr>
                <w:rFonts w:hint="eastAsia" w:ascii="仿宋_GB2312" w:eastAsia="仿宋_GB2312"/>
                <w:sz w:val="24"/>
              </w:rPr>
              <w:t>约束性</w:t>
            </w:r>
          </w:p>
        </w:tc>
      </w:tr>
      <w:tr w14:paraId="504CE539">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right w:val="single" w:color="000000" w:sz="4" w:space="0"/>
            </w:tcBorders>
            <w:noWrap w:val="0"/>
            <w:vAlign w:val="center"/>
          </w:tcPr>
          <w:p w14:paraId="724344B1">
            <w:pPr>
              <w:spacing w:line="400" w:lineRule="exact"/>
              <w:jc w:val="center"/>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67EA5736">
            <w:pPr>
              <w:widowControl/>
              <w:spacing w:line="400" w:lineRule="exact"/>
              <w:jc w:val="center"/>
              <w:rPr>
                <w:rFonts w:hint="eastAsia" w:ascii="仿宋_GB2312" w:eastAsia="仿宋_GB2312"/>
                <w:kern w:val="0"/>
                <w:sz w:val="24"/>
              </w:rPr>
            </w:pPr>
            <w:r>
              <w:rPr>
                <w:rFonts w:hint="eastAsia" w:ascii="仿宋_GB2312" w:eastAsia="仿宋_GB2312"/>
                <w:kern w:val="0"/>
                <w:sz w:val="24"/>
              </w:rPr>
              <w:t>13</w:t>
            </w:r>
          </w:p>
        </w:tc>
        <w:tc>
          <w:tcPr>
            <w:tcW w:w="2979" w:type="dxa"/>
            <w:tcBorders>
              <w:top w:val="nil"/>
              <w:left w:val="nil"/>
              <w:bottom w:val="single" w:color="000000" w:sz="4" w:space="0"/>
              <w:right w:val="single" w:color="000000" w:sz="4" w:space="0"/>
            </w:tcBorders>
            <w:noWrap w:val="0"/>
            <w:vAlign w:val="center"/>
          </w:tcPr>
          <w:p w14:paraId="3264EC59">
            <w:pPr>
              <w:spacing w:line="400" w:lineRule="exact"/>
              <w:rPr>
                <w:rFonts w:hint="eastAsia" w:ascii="仿宋_GB2312" w:eastAsia="仿宋_GB2312"/>
                <w:sz w:val="24"/>
              </w:rPr>
            </w:pPr>
            <w:r>
              <w:rPr>
                <w:rFonts w:hint="eastAsia" w:ascii="仿宋_GB2312" w:eastAsia="仿宋_GB2312"/>
                <w:sz w:val="24"/>
              </w:rPr>
              <w:t>城市居民最低生活保障</w:t>
            </w:r>
          </w:p>
        </w:tc>
        <w:tc>
          <w:tcPr>
            <w:tcW w:w="868" w:type="dxa"/>
            <w:tcBorders>
              <w:top w:val="nil"/>
              <w:left w:val="nil"/>
              <w:bottom w:val="single" w:color="000000" w:sz="4" w:space="0"/>
              <w:right w:val="single" w:color="000000" w:sz="4" w:space="0"/>
            </w:tcBorders>
            <w:noWrap w:val="0"/>
            <w:vAlign w:val="center"/>
          </w:tcPr>
          <w:p w14:paraId="21066B40">
            <w:pPr>
              <w:spacing w:line="400" w:lineRule="exact"/>
              <w:jc w:val="center"/>
              <w:rPr>
                <w:rFonts w:hint="eastAsia" w:ascii="仿宋_GB2312" w:eastAsia="仿宋_GB2312"/>
                <w:sz w:val="24"/>
              </w:rPr>
            </w:pPr>
            <w:r>
              <w:rPr>
                <w:rFonts w:hint="eastAsia" w:ascii="仿宋_GB2312" w:eastAsia="仿宋_GB2312"/>
                <w:sz w:val="24"/>
              </w:rPr>
              <w:t>人</w:t>
            </w:r>
          </w:p>
        </w:tc>
        <w:tc>
          <w:tcPr>
            <w:tcW w:w="1357" w:type="dxa"/>
            <w:tcBorders>
              <w:top w:val="nil"/>
              <w:left w:val="nil"/>
              <w:bottom w:val="single" w:color="000000" w:sz="4" w:space="0"/>
              <w:right w:val="single" w:color="000000" w:sz="4" w:space="0"/>
            </w:tcBorders>
            <w:noWrap w:val="0"/>
            <w:vAlign w:val="center"/>
          </w:tcPr>
          <w:p w14:paraId="6D83AC67">
            <w:pPr>
              <w:spacing w:line="400" w:lineRule="exact"/>
              <w:jc w:val="center"/>
              <w:rPr>
                <w:rFonts w:hint="eastAsia" w:ascii="仿宋_GB2312" w:eastAsia="仿宋_GB2312"/>
                <w:sz w:val="24"/>
              </w:rPr>
            </w:pPr>
            <w:r>
              <w:rPr>
                <w:rFonts w:hint="eastAsia" w:ascii="仿宋_GB2312" w:eastAsia="仿宋_GB2312"/>
                <w:sz w:val="24"/>
              </w:rPr>
              <w:t>应保尽保</w:t>
            </w:r>
          </w:p>
        </w:tc>
        <w:tc>
          <w:tcPr>
            <w:tcW w:w="1080" w:type="dxa"/>
            <w:tcBorders>
              <w:top w:val="nil"/>
              <w:left w:val="nil"/>
              <w:bottom w:val="single" w:color="000000" w:sz="4" w:space="0"/>
              <w:right w:val="single" w:color="000000" w:sz="4" w:space="0"/>
            </w:tcBorders>
            <w:noWrap w:val="0"/>
            <w:vAlign w:val="center"/>
          </w:tcPr>
          <w:p w14:paraId="6497FCC9">
            <w:pPr>
              <w:spacing w:line="400" w:lineRule="exact"/>
              <w:jc w:val="center"/>
              <w:rPr>
                <w:rFonts w:hint="eastAsia" w:ascii="仿宋_GB2312" w:eastAsia="仿宋_GB2312"/>
                <w:sz w:val="24"/>
              </w:rPr>
            </w:pPr>
            <w:r>
              <w:rPr>
                <w:rFonts w:hint="eastAsia" w:ascii="仿宋_GB2312" w:eastAsia="仿宋_GB2312"/>
                <w:sz w:val="24"/>
              </w:rPr>
              <w:t>应保尽保</w:t>
            </w:r>
          </w:p>
        </w:tc>
        <w:tc>
          <w:tcPr>
            <w:tcW w:w="1440" w:type="dxa"/>
            <w:tcBorders>
              <w:top w:val="nil"/>
              <w:left w:val="nil"/>
              <w:bottom w:val="single" w:color="000000" w:sz="4" w:space="0"/>
              <w:right w:val="single" w:color="000000" w:sz="4" w:space="0"/>
            </w:tcBorders>
            <w:noWrap w:val="0"/>
            <w:vAlign w:val="center"/>
          </w:tcPr>
          <w:p w14:paraId="06307D39">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145AB414">
            <w:pPr>
              <w:spacing w:line="400" w:lineRule="exact"/>
              <w:jc w:val="center"/>
              <w:rPr>
                <w:rFonts w:hint="eastAsia" w:ascii="仿宋_GB2312" w:eastAsia="仿宋_GB2312"/>
                <w:sz w:val="24"/>
              </w:rPr>
            </w:pPr>
            <w:r>
              <w:rPr>
                <w:rFonts w:hint="eastAsia" w:ascii="仿宋_GB2312" w:eastAsia="仿宋_GB2312"/>
                <w:sz w:val="24"/>
              </w:rPr>
              <w:t>约束性</w:t>
            </w:r>
          </w:p>
        </w:tc>
      </w:tr>
      <w:tr w14:paraId="2948F6E4">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right w:val="single" w:color="000000" w:sz="4" w:space="0"/>
            </w:tcBorders>
            <w:noWrap w:val="0"/>
            <w:vAlign w:val="center"/>
          </w:tcPr>
          <w:p w14:paraId="41D50965">
            <w:pPr>
              <w:widowControl/>
              <w:spacing w:line="400" w:lineRule="exact"/>
              <w:jc w:val="center"/>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6EE7372C">
            <w:pPr>
              <w:widowControl/>
              <w:spacing w:line="400" w:lineRule="exact"/>
              <w:jc w:val="center"/>
              <w:rPr>
                <w:rFonts w:hint="eastAsia" w:ascii="仿宋_GB2312" w:eastAsia="仿宋_GB2312"/>
                <w:kern w:val="0"/>
                <w:sz w:val="24"/>
              </w:rPr>
            </w:pPr>
            <w:r>
              <w:rPr>
                <w:rFonts w:hint="eastAsia" w:ascii="仿宋_GB2312" w:eastAsia="仿宋_GB2312"/>
                <w:kern w:val="0"/>
                <w:sz w:val="24"/>
              </w:rPr>
              <w:t>14</w:t>
            </w:r>
          </w:p>
        </w:tc>
        <w:tc>
          <w:tcPr>
            <w:tcW w:w="2979" w:type="dxa"/>
            <w:tcBorders>
              <w:top w:val="nil"/>
              <w:left w:val="nil"/>
              <w:bottom w:val="single" w:color="000000" w:sz="4" w:space="0"/>
              <w:right w:val="single" w:color="000000" w:sz="4" w:space="0"/>
            </w:tcBorders>
            <w:noWrap w:val="0"/>
            <w:vAlign w:val="center"/>
          </w:tcPr>
          <w:p w14:paraId="09B6071A">
            <w:pPr>
              <w:spacing w:line="400" w:lineRule="exact"/>
              <w:rPr>
                <w:rFonts w:hint="eastAsia" w:ascii="仿宋_GB2312" w:eastAsia="仿宋_GB2312"/>
                <w:sz w:val="24"/>
              </w:rPr>
            </w:pPr>
            <w:r>
              <w:rPr>
                <w:rFonts w:hint="eastAsia" w:ascii="仿宋_GB2312" w:eastAsia="仿宋_GB2312"/>
                <w:sz w:val="24"/>
              </w:rPr>
              <w:t>每千名老人拥有养老床位</w:t>
            </w:r>
          </w:p>
        </w:tc>
        <w:tc>
          <w:tcPr>
            <w:tcW w:w="868" w:type="dxa"/>
            <w:tcBorders>
              <w:top w:val="nil"/>
              <w:left w:val="nil"/>
              <w:bottom w:val="single" w:color="000000" w:sz="4" w:space="0"/>
              <w:right w:val="single" w:color="000000" w:sz="4" w:space="0"/>
            </w:tcBorders>
            <w:noWrap w:val="0"/>
            <w:vAlign w:val="center"/>
          </w:tcPr>
          <w:p w14:paraId="6E9AA76B">
            <w:pPr>
              <w:spacing w:line="400" w:lineRule="exact"/>
              <w:jc w:val="center"/>
              <w:rPr>
                <w:rFonts w:hint="eastAsia" w:ascii="仿宋_GB2312" w:eastAsia="仿宋_GB2312"/>
                <w:sz w:val="24"/>
              </w:rPr>
            </w:pPr>
            <w:r>
              <w:rPr>
                <w:rFonts w:hint="eastAsia" w:ascii="仿宋_GB2312" w:eastAsia="仿宋_GB2312"/>
                <w:sz w:val="24"/>
              </w:rPr>
              <w:t>张</w:t>
            </w:r>
          </w:p>
        </w:tc>
        <w:tc>
          <w:tcPr>
            <w:tcW w:w="1357" w:type="dxa"/>
            <w:tcBorders>
              <w:top w:val="nil"/>
              <w:left w:val="nil"/>
              <w:bottom w:val="single" w:color="000000" w:sz="4" w:space="0"/>
              <w:right w:val="single" w:color="000000" w:sz="4" w:space="0"/>
            </w:tcBorders>
            <w:noWrap w:val="0"/>
            <w:vAlign w:val="center"/>
          </w:tcPr>
          <w:p w14:paraId="4A9A9BEF">
            <w:pPr>
              <w:spacing w:line="400" w:lineRule="exact"/>
              <w:jc w:val="center"/>
              <w:rPr>
                <w:rFonts w:hint="eastAsia" w:ascii="仿宋_GB2312" w:eastAsia="仿宋_GB2312"/>
                <w:sz w:val="24"/>
              </w:rPr>
            </w:pPr>
            <w:r>
              <w:rPr>
                <w:rFonts w:hint="eastAsia" w:ascii="仿宋_GB2312" w:eastAsia="仿宋_GB2312"/>
                <w:sz w:val="24"/>
              </w:rPr>
              <w:t>27</w:t>
            </w:r>
          </w:p>
        </w:tc>
        <w:tc>
          <w:tcPr>
            <w:tcW w:w="1080" w:type="dxa"/>
            <w:tcBorders>
              <w:top w:val="nil"/>
              <w:left w:val="nil"/>
              <w:bottom w:val="single" w:color="000000" w:sz="4" w:space="0"/>
              <w:right w:val="single" w:color="000000" w:sz="4" w:space="0"/>
            </w:tcBorders>
            <w:noWrap w:val="0"/>
            <w:vAlign w:val="center"/>
          </w:tcPr>
          <w:p w14:paraId="6027B604">
            <w:pPr>
              <w:spacing w:line="400" w:lineRule="exact"/>
              <w:jc w:val="center"/>
              <w:rPr>
                <w:rFonts w:hint="eastAsia" w:ascii="仿宋_GB2312" w:eastAsia="仿宋_GB2312"/>
                <w:sz w:val="24"/>
              </w:rPr>
            </w:pPr>
            <w:r>
              <w:rPr>
                <w:rFonts w:hint="eastAsia" w:ascii="仿宋_GB2312" w:eastAsia="仿宋_GB2312"/>
                <w:sz w:val="24"/>
              </w:rPr>
              <w:t>40</w:t>
            </w:r>
          </w:p>
        </w:tc>
        <w:tc>
          <w:tcPr>
            <w:tcW w:w="1440" w:type="dxa"/>
            <w:tcBorders>
              <w:top w:val="nil"/>
              <w:left w:val="nil"/>
              <w:bottom w:val="single" w:color="000000" w:sz="4" w:space="0"/>
              <w:right w:val="single" w:color="000000" w:sz="4" w:space="0"/>
            </w:tcBorders>
            <w:noWrap w:val="0"/>
            <w:vAlign w:val="center"/>
          </w:tcPr>
          <w:p w14:paraId="1E842F50">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0F1F7418">
            <w:pPr>
              <w:spacing w:line="400" w:lineRule="exact"/>
              <w:jc w:val="center"/>
              <w:rPr>
                <w:rFonts w:hint="eastAsia" w:ascii="仿宋_GB2312" w:eastAsia="仿宋_GB2312"/>
                <w:sz w:val="24"/>
              </w:rPr>
            </w:pPr>
            <w:r>
              <w:rPr>
                <w:rFonts w:hint="eastAsia" w:ascii="仿宋_GB2312" w:eastAsia="仿宋_GB2312"/>
                <w:sz w:val="24"/>
              </w:rPr>
              <w:t>预期性</w:t>
            </w:r>
          </w:p>
        </w:tc>
      </w:tr>
      <w:tr w14:paraId="695EA428">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right w:val="single" w:color="000000" w:sz="4" w:space="0"/>
            </w:tcBorders>
            <w:noWrap w:val="0"/>
            <w:vAlign w:val="center"/>
          </w:tcPr>
          <w:p w14:paraId="5AC796B8">
            <w:pPr>
              <w:widowControl/>
              <w:spacing w:line="400" w:lineRule="exact"/>
              <w:jc w:val="left"/>
              <w:rPr>
                <w:rFonts w:hint="eastAsia" w:ascii="仿宋_GB2312" w:eastAsia="仿宋_GB2312"/>
                <w:kern w:val="0"/>
                <w:sz w:val="24"/>
              </w:rPr>
            </w:pPr>
          </w:p>
        </w:tc>
        <w:tc>
          <w:tcPr>
            <w:tcW w:w="496" w:type="dxa"/>
            <w:tcBorders>
              <w:top w:val="nil"/>
              <w:left w:val="nil"/>
              <w:bottom w:val="single" w:color="000000" w:sz="4" w:space="0"/>
              <w:right w:val="single" w:color="000000" w:sz="4" w:space="0"/>
            </w:tcBorders>
            <w:noWrap w:val="0"/>
            <w:vAlign w:val="center"/>
          </w:tcPr>
          <w:p w14:paraId="7406C288">
            <w:pPr>
              <w:widowControl/>
              <w:spacing w:line="400" w:lineRule="exact"/>
              <w:jc w:val="center"/>
              <w:rPr>
                <w:rFonts w:hint="eastAsia" w:ascii="仿宋_GB2312" w:eastAsia="仿宋_GB2312"/>
                <w:kern w:val="0"/>
                <w:sz w:val="24"/>
              </w:rPr>
            </w:pPr>
            <w:r>
              <w:rPr>
                <w:rFonts w:hint="eastAsia" w:ascii="仿宋_GB2312" w:eastAsia="仿宋_GB2312"/>
                <w:kern w:val="0"/>
                <w:sz w:val="24"/>
              </w:rPr>
              <w:t>15</w:t>
            </w:r>
          </w:p>
        </w:tc>
        <w:tc>
          <w:tcPr>
            <w:tcW w:w="2979" w:type="dxa"/>
            <w:tcBorders>
              <w:top w:val="nil"/>
              <w:left w:val="nil"/>
              <w:bottom w:val="single" w:color="000000" w:sz="4" w:space="0"/>
              <w:right w:val="single" w:color="000000" w:sz="4" w:space="0"/>
            </w:tcBorders>
            <w:noWrap w:val="0"/>
            <w:vAlign w:val="center"/>
          </w:tcPr>
          <w:p w14:paraId="73761BB0">
            <w:pPr>
              <w:spacing w:line="400" w:lineRule="exact"/>
              <w:rPr>
                <w:rFonts w:hint="eastAsia" w:ascii="仿宋_GB2312" w:eastAsia="仿宋_GB2312"/>
                <w:sz w:val="24"/>
              </w:rPr>
            </w:pPr>
            <w:r>
              <w:rPr>
                <w:rFonts w:hint="eastAsia" w:ascii="仿宋_GB2312" w:eastAsia="仿宋_GB2312"/>
                <w:sz w:val="24"/>
              </w:rPr>
              <w:t>每千人口医生数和护士数</w:t>
            </w:r>
          </w:p>
        </w:tc>
        <w:tc>
          <w:tcPr>
            <w:tcW w:w="868" w:type="dxa"/>
            <w:tcBorders>
              <w:top w:val="nil"/>
              <w:left w:val="nil"/>
              <w:bottom w:val="single" w:color="000000" w:sz="4" w:space="0"/>
              <w:right w:val="single" w:color="000000" w:sz="4" w:space="0"/>
            </w:tcBorders>
            <w:noWrap w:val="0"/>
            <w:vAlign w:val="center"/>
          </w:tcPr>
          <w:p w14:paraId="63300802">
            <w:pPr>
              <w:spacing w:line="400" w:lineRule="exact"/>
              <w:jc w:val="center"/>
              <w:rPr>
                <w:rFonts w:hint="eastAsia" w:ascii="仿宋_GB2312" w:eastAsia="仿宋_GB2312"/>
                <w:sz w:val="24"/>
              </w:rPr>
            </w:pPr>
            <w:r>
              <w:rPr>
                <w:rFonts w:hint="eastAsia" w:ascii="仿宋_GB2312" w:eastAsia="仿宋_GB2312"/>
                <w:sz w:val="24"/>
              </w:rPr>
              <w:t>人</w:t>
            </w:r>
          </w:p>
        </w:tc>
        <w:tc>
          <w:tcPr>
            <w:tcW w:w="1357" w:type="dxa"/>
            <w:tcBorders>
              <w:top w:val="nil"/>
              <w:left w:val="nil"/>
              <w:bottom w:val="single" w:color="000000" w:sz="4" w:space="0"/>
              <w:right w:val="single" w:color="000000" w:sz="4" w:space="0"/>
            </w:tcBorders>
            <w:noWrap w:val="0"/>
            <w:vAlign w:val="center"/>
          </w:tcPr>
          <w:p w14:paraId="0C0C5872">
            <w:pPr>
              <w:spacing w:line="400" w:lineRule="exact"/>
              <w:jc w:val="center"/>
              <w:rPr>
                <w:rFonts w:hint="eastAsia" w:ascii="仿宋_GB2312" w:eastAsia="仿宋_GB2312"/>
                <w:sz w:val="24"/>
              </w:rPr>
            </w:pPr>
            <w:r>
              <w:rPr>
                <w:rFonts w:hint="eastAsia" w:ascii="仿宋_GB2312" w:eastAsia="仿宋_GB2312"/>
                <w:sz w:val="24"/>
              </w:rPr>
              <w:t>5.7/6</w:t>
            </w:r>
          </w:p>
        </w:tc>
        <w:tc>
          <w:tcPr>
            <w:tcW w:w="1080" w:type="dxa"/>
            <w:tcBorders>
              <w:top w:val="nil"/>
              <w:left w:val="nil"/>
              <w:bottom w:val="single" w:color="000000" w:sz="4" w:space="0"/>
              <w:right w:val="single" w:color="000000" w:sz="4" w:space="0"/>
            </w:tcBorders>
            <w:noWrap w:val="0"/>
            <w:vAlign w:val="center"/>
          </w:tcPr>
          <w:p w14:paraId="6E451B33">
            <w:pPr>
              <w:spacing w:line="400" w:lineRule="exact"/>
              <w:jc w:val="center"/>
              <w:rPr>
                <w:rFonts w:hint="eastAsia" w:ascii="仿宋_GB2312" w:eastAsia="仿宋_GB2312"/>
                <w:sz w:val="24"/>
              </w:rPr>
            </w:pPr>
            <w:r>
              <w:rPr>
                <w:rFonts w:hint="eastAsia" w:ascii="仿宋_GB2312" w:eastAsia="仿宋_GB2312"/>
                <w:sz w:val="24"/>
              </w:rPr>
              <w:t>6/7.5</w:t>
            </w:r>
          </w:p>
        </w:tc>
        <w:tc>
          <w:tcPr>
            <w:tcW w:w="1440" w:type="dxa"/>
            <w:tcBorders>
              <w:top w:val="nil"/>
              <w:left w:val="nil"/>
              <w:bottom w:val="single" w:color="000000" w:sz="4" w:space="0"/>
              <w:right w:val="single" w:color="000000" w:sz="4" w:space="0"/>
            </w:tcBorders>
            <w:noWrap w:val="0"/>
            <w:vAlign w:val="center"/>
          </w:tcPr>
          <w:p w14:paraId="1513E747">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5A1685FA">
            <w:pPr>
              <w:spacing w:line="400" w:lineRule="exact"/>
              <w:jc w:val="center"/>
              <w:rPr>
                <w:rFonts w:hint="eastAsia" w:ascii="仿宋_GB2312" w:eastAsia="仿宋_GB2312"/>
                <w:sz w:val="24"/>
              </w:rPr>
            </w:pPr>
            <w:r>
              <w:rPr>
                <w:rFonts w:hint="eastAsia" w:ascii="仿宋_GB2312" w:eastAsia="仿宋_GB2312"/>
                <w:sz w:val="24"/>
              </w:rPr>
              <w:t>预期性</w:t>
            </w:r>
          </w:p>
        </w:tc>
      </w:tr>
      <w:tr w14:paraId="291C026C">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right w:val="single" w:color="000000" w:sz="4" w:space="0"/>
            </w:tcBorders>
            <w:noWrap w:val="0"/>
            <w:vAlign w:val="center"/>
          </w:tcPr>
          <w:p w14:paraId="2414ED41">
            <w:pPr>
              <w:widowControl/>
              <w:spacing w:line="400" w:lineRule="exact"/>
              <w:jc w:val="left"/>
              <w:rPr>
                <w:rFonts w:hint="eastAsia" w:ascii="仿宋_GB2312" w:eastAsia="仿宋_GB2312"/>
                <w:kern w:val="0"/>
                <w:sz w:val="24"/>
              </w:rPr>
            </w:pPr>
          </w:p>
        </w:tc>
        <w:tc>
          <w:tcPr>
            <w:tcW w:w="496" w:type="dxa"/>
            <w:tcBorders>
              <w:top w:val="nil"/>
              <w:left w:val="nil"/>
              <w:bottom w:val="single" w:color="auto" w:sz="4" w:space="0"/>
              <w:right w:val="single" w:color="000000" w:sz="4" w:space="0"/>
            </w:tcBorders>
            <w:noWrap w:val="0"/>
            <w:vAlign w:val="center"/>
          </w:tcPr>
          <w:p w14:paraId="0951D649">
            <w:pPr>
              <w:spacing w:line="400" w:lineRule="exact"/>
              <w:jc w:val="center"/>
              <w:rPr>
                <w:rFonts w:hint="eastAsia" w:ascii="仿宋_GB2312" w:eastAsia="仿宋_GB2312"/>
                <w:kern w:val="0"/>
                <w:sz w:val="24"/>
              </w:rPr>
            </w:pPr>
            <w:r>
              <w:rPr>
                <w:rFonts w:hint="eastAsia" w:ascii="仿宋_GB2312" w:eastAsia="仿宋_GB2312"/>
                <w:kern w:val="0"/>
                <w:sz w:val="24"/>
              </w:rPr>
              <w:t>16</w:t>
            </w:r>
          </w:p>
        </w:tc>
        <w:tc>
          <w:tcPr>
            <w:tcW w:w="2979" w:type="dxa"/>
            <w:tcBorders>
              <w:top w:val="nil"/>
              <w:left w:val="nil"/>
              <w:bottom w:val="single" w:color="auto" w:sz="4" w:space="0"/>
              <w:right w:val="single" w:color="000000" w:sz="4" w:space="0"/>
            </w:tcBorders>
            <w:noWrap w:val="0"/>
            <w:vAlign w:val="center"/>
          </w:tcPr>
          <w:p w14:paraId="5E846E80">
            <w:pPr>
              <w:spacing w:line="400" w:lineRule="exact"/>
              <w:rPr>
                <w:rFonts w:hint="eastAsia" w:ascii="仿宋_GB2312" w:eastAsia="仿宋_GB2312"/>
                <w:sz w:val="24"/>
              </w:rPr>
            </w:pPr>
            <w:r>
              <w:rPr>
                <w:rFonts w:hint="eastAsia" w:ascii="仿宋_GB2312" w:eastAsia="仿宋_GB2312"/>
                <w:sz w:val="24"/>
              </w:rPr>
              <w:t>人口自然增长率</w:t>
            </w:r>
          </w:p>
        </w:tc>
        <w:tc>
          <w:tcPr>
            <w:tcW w:w="868" w:type="dxa"/>
            <w:tcBorders>
              <w:top w:val="nil"/>
              <w:left w:val="nil"/>
              <w:bottom w:val="single" w:color="auto" w:sz="4" w:space="0"/>
              <w:right w:val="single" w:color="000000" w:sz="4" w:space="0"/>
            </w:tcBorders>
            <w:noWrap w:val="0"/>
            <w:vAlign w:val="center"/>
          </w:tcPr>
          <w:p w14:paraId="1FA47564">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nil"/>
              <w:left w:val="nil"/>
              <w:bottom w:val="single" w:color="auto" w:sz="4" w:space="0"/>
              <w:right w:val="single" w:color="000000" w:sz="4" w:space="0"/>
            </w:tcBorders>
            <w:noWrap w:val="0"/>
            <w:vAlign w:val="center"/>
          </w:tcPr>
          <w:p w14:paraId="35B88171">
            <w:pPr>
              <w:spacing w:line="400" w:lineRule="exact"/>
              <w:jc w:val="center"/>
              <w:rPr>
                <w:rFonts w:hint="eastAsia" w:ascii="仿宋_GB2312" w:eastAsia="仿宋_GB2312"/>
                <w:sz w:val="24"/>
              </w:rPr>
            </w:pPr>
            <w:r>
              <w:rPr>
                <w:rFonts w:hint="eastAsia" w:ascii="仿宋_GB2312" w:eastAsia="仿宋_GB2312"/>
                <w:sz w:val="24"/>
              </w:rPr>
              <w:t>0.5</w:t>
            </w:r>
          </w:p>
        </w:tc>
        <w:tc>
          <w:tcPr>
            <w:tcW w:w="1080" w:type="dxa"/>
            <w:tcBorders>
              <w:top w:val="nil"/>
              <w:left w:val="nil"/>
              <w:bottom w:val="single" w:color="auto" w:sz="4" w:space="0"/>
              <w:right w:val="single" w:color="000000" w:sz="4" w:space="0"/>
            </w:tcBorders>
            <w:noWrap w:val="0"/>
            <w:vAlign w:val="center"/>
          </w:tcPr>
          <w:p w14:paraId="01E1BF50">
            <w:pPr>
              <w:spacing w:line="400" w:lineRule="exact"/>
              <w:jc w:val="center"/>
              <w:rPr>
                <w:rFonts w:hint="eastAsia" w:ascii="仿宋_GB2312" w:eastAsia="仿宋_GB2312"/>
                <w:sz w:val="24"/>
              </w:rPr>
            </w:pPr>
            <w:r>
              <w:rPr>
                <w:rFonts w:hint="eastAsia" w:ascii="仿宋_GB2312" w:eastAsia="仿宋_GB2312"/>
                <w:sz w:val="24"/>
              </w:rPr>
              <w:t>&lt;1.01</w:t>
            </w:r>
          </w:p>
        </w:tc>
        <w:tc>
          <w:tcPr>
            <w:tcW w:w="1440" w:type="dxa"/>
            <w:tcBorders>
              <w:top w:val="nil"/>
              <w:left w:val="nil"/>
              <w:bottom w:val="single" w:color="auto" w:sz="4" w:space="0"/>
              <w:right w:val="single" w:color="000000" w:sz="4" w:space="0"/>
            </w:tcBorders>
            <w:noWrap w:val="0"/>
            <w:vAlign w:val="center"/>
          </w:tcPr>
          <w:p w14:paraId="5BE4C698">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auto" w:sz="4" w:space="0"/>
              <w:right w:val="single" w:color="000000" w:sz="4" w:space="0"/>
            </w:tcBorders>
            <w:noWrap w:val="0"/>
            <w:vAlign w:val="center"/>
          </w:tcPr>
          <w:p w14:paraId="2FD43087">
            <w:pPr>
              <w:spacing w:line="400" w:lineRule="exact"/>
              <w:jc w:val="center"/>
              <w:rPr>
                <w:rFonts w:hint="eastAsia" w:ascii="仿宋_GB2312" w:eastAsia="仿宋_GB2312"/>
                <w:sz w:val="24"/>
              </w:rPr>
            </w:pPr>
            <w:r>
              <w:rPr>
                <w:rFonts w:hint="eastAsia" w:ascii="仿宋_GB2312" w:eastAsia="仿宋_GB2312"/>
                <w:sz w:val="24"/>
              </w:rPr>
              <w:t>预期性</w:t>
            </w:r>
          </w:p>
        </w:tc>
      </w:tr>
      <w:tr w14:paraId="11B84EC7">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bottom w:val="single" w:color="auto" w:sz="4" w:space="0"/>
              <w:right w:val="single" w:color="000000" w:sz="4" w:space="0"/>
            </w:tcBorders>
            <w:noWrap w:val="0"/>
            <w:vAlign w:val="center"/>
          </w:tcPr>
          <w:p w14:paraId="4C1DAE11">
            <w:pPr>
              <w:widowControl/>
              <w:spacing w:line="400" w:lineRule="exact"/>
              <w:jc w:val="left"/>
              <w:rPr>
                <w:rFonts w:hint="eastAsia" w:ascii="仿宋_GB2312" w:eastAsia="仿宋_GB2312"/>
                <w:kern w:val="0"/>
                <w:sz w:val="24"/>
              </w:rPr>
            </w:pPr>
          </w:p>
        </w:tc>
        <w:tc>
          <w:tcPr>
            <w:tcW w:w="496" w:type="dxa"/>
            <w:tcBorders>
              <w:top w:val="single" w:color="auto" w:sz="4" w:space="0"/>
              <w:left w:val="nil"/>
              <w:bottom w:val="single" w:color="auto" w:sz="4" w:space="0"/>
              <w:right w:val="single" w:color="000000" w:sz="4" w:space="0"/>
            </w:tcBorders>
            <w:noWrap w:val="0"/>
            <w:vAlign w:val="center"/>
          </w:tcPr>
          <w:p w14:paraId="589AA6FE">
            <w:pPr>
              <w:widowControl/>
              <w:spacing w:line="400" w:lineRule="exact"/>
              <w:jc w:val="center"/>
              <w:rPr>
                <w:rFonts w:hint="eastAsia" w:ascii="仿宋_GB2312" w:eastAsia="仿宋_GB2312"/>
                <w:kern w:val="0"/>
                <w:sz w:val="24"/>
              </w:rPr>
            </w:pPr>
            <w:r>
              <w:rPr>
                <w:rFonts w:hint="eastAsia" w:ascii="仿宋_GB2312" w:eastAsia="仿宋_GB2312"/>
                <w:kern w:val="0"/>
                <w:sz w:val="24"/>
              </w:rPr>
              <w:t>17</w:t>
            </w:r>
          </w:p>
        </w:tc>
        <w:tc>
          <w:tcPr>
            <w:tcW w:w="2979" w:type="dxa"/>
            <w:tcBorders>
              <w:top w:val="single" w:color="auto" w:sz="4" w:space="0"/>
              <w:left w:val="nil"/>
              <w:bottom w:val="single" w:color="000000" w:sz="4" w:space="0"/>
              <w:right w:val="single" w:color="000000" w:sz="4" w:space="0"/>
            </w:tcBorders>
            <w:noWrap w:val="0"/>
            <w:vAlign w:val="center"/>
          </w:tcPr>
          <w:p w14:paraId="427E1D2D">
            <w:pPr>
              <w:spacing w:line="400" w:lineRule="exact"/>
              <w:rPr>
                <w:rFonts w:hint="eastAsia" w:ascii="仿宋_GB2312" w:eastAsia="仿宋_GB2312"/>
                <w:sz w:val="24"/>
              </w:rPr>
            </w:pPr>
            <w:r>
              <w:rPr>
                <w:rFonts w:hint="eastAsia" w:ascii="仿宋_GB2312" w:eastAsia="仿宋_GB2312"/>
                <w:sz w:val="24"/>
              </w:rPr>
              <w:t>安全生产伤亡事故</w:t>
            </w:r>
          </w:p>
        </w:tc>
        <w:tc>
          <w:tcPr>
            <w:tcW w:w="868" w:type="dxa"/>
            <w:tcBorders>
              <w:top w:val="single" w:color="auto" w:sz="4" w:space="0"/>
              <w:left w:val="nil"/>
              <w:bottom w:val="single" w:color="000000" w:sz="4" w:space="0"/>
              <w:right w:val="single" w:color="000000" w:sz="4" w:space="0"/>
            </w:tcBorders>
            <w:noWrap w:val="0"/>
            <w:vAlign w:val="center"/>
          </w:tcPr>
          <w:p w14:paraId="3FA7B9DF">
            <w:pPr>
              <w:spacing w:line="400" w:lineRule="exact"/>
              <w:jc w:val="center"/>
              <w:rPr>
                <w:rFonts w:hint="eastAsia" w:ascii="仿宋_GB2312" w:eastAsia="仿宋_GB2312"/>
                <w:sz w:val="24"/>
              </w:rPr>
            </w:pPr>
            <w:r>
              <w:rPr>
                <w:rFonts w:hint="eastAsia" w:ascii="仿宋_GB2312" w:eastAsia="仿宋_GB2312"/>
                <w:sz w:val="24"/>
              </w:rPr>
              <w:t>人</w:t>
            </w:r>
          </w:p>
        </w:tc>
        <w:tc>
          <w:tcPr>
            <w:tcW w:w="1357" w:type="dxa"/>
            <w:tcBorders>
              <w:top w:val="single" w:color="auto" w:sz="4" w:space="0"/>
              <w:left w:val="nil"/>
              <w:bottom w:val="single" w:color="000000" w:sz="4" w:space="0"/>
              <w:right w:val="single" w:color="000000" w:sz="4" w:space="0"/>
            </w:tcBorders>
            <w:noWrap w:val="0"/>
            <w:vAlign w:val="center"/>
          </w:tcPr>
          <w:p w14:paraId="27FBAA6D">
            <w:pPr>
              <w:spacing w:line="400" w:lineRule="exact"/>
              <w:jc w:val="center"/>
              <w:rPr>
                <w:rFonts w:hint="eastAsia" w:ascii="仿宋_GB2312" w:eastAsia="仿宋_GB2312"/>
                <w:sz w:val="24"/>
              </w:rPr>
            </w:pPr>
            <w:r>
              <w:rPr>
                <w:rFonts w:hint="eastAsia" w:ascii="仿宋_GB2312" w:eastAsia="仿宋_GB2312"/>
                <w:sz w:val="24"/>
              </w:rPr>
              <w:t>0</w:t>
            </w:r>
          </w:p>
        </w:tc>
        <w:tc>
          <w:tcPr>
            <w:tcW w:w="1080" w:type="dxa"/>
            <w:tcBorders>
              <w:top w:val="single" w:color="auto" w:sz="4" w:space="0"/>
              <w:left w:val="nil"/>
              <w:bottom w:val="single" w:color="000000" w:sz="4" w:space="0"/>
              <w:right w:val="single" w:color="000000" w:sz="4" w:space="0"/>
            </w:tcBorders>
            <w:noWrap w:val="0"/>
            <w:vAlign w:val="center"/>
          </w:tcPr>
          <w:p w14:paraId="1E6D52A6">
            <w:pPr>
              <w:spacing w:line="400" w:lineRule="exact"/>
              <w:jc w:val="center"/>
              <w:rPr>
                <w:rFonts w:hint="eastAsia" w:ascii="仿宋_GB2312" w:eastAsia="仿宋_GB2312"/>
                <w:sz w:val="24"/>
              </w:rPr>
            </w:pPr>
            <w:r>
              <w:rPr>
                <w:rFonts w:hint="eastAsia" w:ascii="仿宋_GB2312" w:eastAsia="仿宋_GB2312"/>
                <w:sz w:val="24"/>
              </w:rPr>
              <w:t>≤1</w:t>
            </w:r>
          </w:p>
        </w:tc>
        <w:tc>
          <w:tcPr>
            <w:tcW w:w="1440" w:type="dxa"/>
            <w:tcBorders>
              <w:top w:val="single" w:color="auto" w:sz="4" w:space="0"/>
              <w:left w:val="nil"/>
              <w:bottom w:val="single" w:color="000000" w:sz="4" w:space="0"/>
              <w:right w:val="single" w:color="000000" w:sz="4" w:space="0"/>
            </w:tcBorders>
            <w:noWrap w:val="0"/>
            <w:vAlign w:val="center"/>
          </w:tcPr>
          <w:p w14:paraId="0FCAC73C">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auto" w:sz="4" w:space="0"/>
              <w:left w:val="nil"/>
              <w:bottom w:val="single" w:color="000000" w:sz="4" w:space="0"/>
              <w:right w:val="single" w:color="000000" w:sz="4" w:space="0"/>
            </w:tcBorders>
            <w:noWrap w:val="0"/>
            <w:vAlign w:val="center"/>
          </w:tcPr>
          <w:p w14:paraId="0CA1DA7E">
            <w:pPr>
              <w:spacing w:line="400" w:lineRule="exact"/>
              <w:jc w:val="center"/>
              <w:rPr>
                <w:rFonts w:hint="eastAsia" w:ascii="仿宋_GB2312" w:eastAsia="仿宋_GB2312"/>
                <w:sz w:val="24"/>
              </w:rPr>
            </w:pPr>
            <w:r>
              <w:rPr>
                <w:rFonts w:hint="eastAsia" w:ascii="仿宋_GB2312" w:eastAsia="仿宋_GB2312"/>
                <w:sz w:val="24"/>
              </w:rPr>
              <w:t>约束性</w:t>
            </w:r>
          </w:p>
        </w:tc>
      </w:tr>
      <w:tr w14:paraId="60711187">
        <w:tblPrEx>
          <w:tblCellMar>
            <w:top w:w="0" w:type="dxa"/>
            <w:left w:w="108" w:type="dxa"/>
            <w:bottom w:w="0" w:type="dxa"/>
            <w:right w:w="108" w:type="dxa"/>
          </w:tblCellMar>
        </w:tblPrEx>
        <w:trPr>
          <w:wBefore w:w="0" w:type="dxa"/>
          <w:wAfter w:w="0" w:type="dxa"/>
          <w:trHeight w:val="397" w:hRule="exact"/>
          <w:jc w:val="center"/>
        </w:trPr>
        <w:tc>
          <w:tcPr>
            <w:tcW w:w="496" w:type="dxa"/>
            <w:vMerge w:val="restart"/>
            <w:tcBorders>
              <w:top w:val="single" w:color="auto" w:sz="4" w:space="0"/>
              <w:left w:val="single" w:color="000000" w:sz="4" w:space="0"/>
              <w:right w:val="single" w:color="000000" w:sz="4" w:space="0"/>
            </w:tcBorders>
            <w:noWrap w:val="0"/>
            <w:vAlign w:val="center"/>
          </w:tcPr>
          <w:p w14:paraId="01527040">
            <w:pPr>
              <w:spacing w:line="400" w:lineRule="exact"/>
              <w:jc w:val="center"/>
              <w:rPr>
                <w:rFonts w:hint="eastAsia" w:ascii="仿宋_GB2312" w:eastAsia="仿宋_GB2312"/>
                <w:kern w:val="0"/>
                <w:sz w:val="24"/>
              </w:rPr>
            </w:pPr>
            <w:r>
              <w:rPr>
                <w:rFonts w:hint="eastAsia" w:ascii="仿宋_GB2312" w:eastAsia="仿宋_GB2312"/>
                <w:kern w:val="0"/>
                <w:sz w:val="24"/>
              </w:rPr>
              <w:t>创新驱动</w:t>
            </w:r>
          </w:p>
        </w:tc>
        <w:tc>
          <w:tcPr>
            <w:tcW w:w="496" w:type="dxa"/>
            <w:tcBorders>
              <w:top w:val="single" w:color="auto" w:sz="4" w:space="0"/>
              <w:left w:val="nil"/>
              <w:bottom w:val="single" w:color="auto" w:sz="4" w:space="0"/>
              <w:right w:val="single" w:color="000000" w:sz="4" w:space="0"/>
            </w:tcBorders>
            <w:noWrap w:val="0"/>
            <w:vAlign w:val="center"/>
          </w:tcPr>
          <w:p w14:paraId="5FB7923E">
            <w:pPr>
              <w:spacing w:line="400" w:lineRule="exact"/>
              <w:jc w:val="center"/>
              <w:rPr>
                <w:rFonts w:hint="eastAsia" w:ascii="仿宋_GB2312" w:eastAsia="仿宋_GB2312"/>
                <w:kern w:val="0"/>
                <w:sz w:val="24"/>
              </w:rPr>
            </w:pPr>
            <w:r>
              <w:rPr>
                <w:rFonts w:hint="eastAsia" w:ascii="仿宋_GB2312" w:eastAsia="仿宋_GB2312"/>
                <w:kern w:val="0"/>
                <w:sz w:val="24"/>
              </w:rPr>
              <w:t>18</w:t>
            </w:r>
          </w:p>
        </w:tc>
        <w:tc>
          <w:tcPr>
            <w:tcW w:w="2979" w:type="dxa"/>
            <w:tcBorders>
              <w:top w:val="nil"/>
              <w:left w:val="nil"/>
              <w:bottom w:val="single" w:color="000000" w:sz="4" w:space="0"/>
              <w:right w:val="single" w:color="000000" w:sz="4" w:space="0"/>
            </w:tcBorders>
            <w:noWrap w:val="0"/>
            <w:vAlign w:val="center"/>
          </w:tcPr>
          <w:p w14:paraId="208FEF95">
            <w:pPr>
              <w:spacing w:line="400" w:lineRule="exact"/>
              <w:rPr>
                <w:rFonts w:hint="eastAsia" w:ascii="仿宋_GB2312" w:eastAsia="仿宋_GB2312"/>
                <w:sz w:val="24"/>
              </w:rPr>
            </w:pPr>
            <w:r>
              <w:rPr>
                <w:rFonts w:hint="eastAsia" w:ascii="仿宋_GB2312" w:eastAsia="仿宋_GB2312"/>
                <w:sz w:val="24"/>
              </w:rPr>
              <w:t>专利授权量</w:t>
            </w:r>
          </w:p>
        </w:tc>
        <w:tc>
          <w:tcPr>
            <w:tcW w:w="868" w:type="dxa"/>
            <w:tcBorders>
              <w:top w:val="nil"/>
              <w:left w:val="nil"/>
              <w:bottom w:val="single" w:color="000000" w:sz="4" w:space="0"/>
              <w:right w:val="single" w:color="000000" w:sz="4" w:space="0"/>
            </w:tcBorders>
            <w:noWrap w:val="0"/>
            <w:vAlign w:val="center"/>
          </w:tcPr>
          <w:p w14:paraId="02AD01AE">
            <w:pPr>
              <w:spacing w:line="400" w:lineRule="exact"/>
              <w:jc w:val="center"/>
              <w:rPr>
                <w:rFonts w:hint="eastAsia" w:ascii="仿宋_GB2312" w:eastAsia="仿宋_GB2312"/>
                <w:sz w:val="24"/>
              </w:rPr>
            </w:pPr>
            <w:r>
              <w:rPr>
                <w:rFonts w:hint="eastAsia" w:ascii="仿宋_GB2312" w:eastAsia="仿宋_GB2312"/>
                <w:sz w:val="24"/>
              </w:rPr>
              <w:t>项</w:t>
            </w:r>
          </w:p>
        </w:tc>
        <w:tc>
          <w:tcPr>
            <w:tcW w:w="1357" w:type="dxa"/>
            <w:tcBorders>
              <w:top w:val="nil"/>
              <w:left w:val="nil"/>
              <w:bottom w:val="single" w:color="000000" w:sz="4" w:space="0"/>
              <w:right w:val="single" w:color="000000" w:sz="4" w:space="0"/>
            </w:tcBorders>
            <w:noWrap w:val="0"/>
            <w:vAlign w:val="center"/>
          </w:tcPr>
          <w:p w14:paraId="319758EA">
            <w:pPr>
              <w:spacing w:line="400" w:lineRule="exact"/>
              <w:jc w:val="center"/>
              <w:rPr>
                <w:rFonts w:hint="eastAsia" w:ascii="仿宋_GB2312" w:eastAsia="仿宋_GB2312"/>
                <w:sz w:val="24"/>
              </w:rPr>
            </w:pPr>
            <w:r>
              <w:rPr>
                <w:rFonts w:hint="eastAsia" w:ascii="仿宋_GB2312" w:eastAsia="仿宋_GB2312"/>
                <w:sz w:val="24"/>
              </w:rPr>
              <w:t>160</w:t>
            </w:r>
          </w:p>
        </w:tc>
        <w:tc>
          <w:tcPr>
            <w:tcW w:w="1080" w:type="dxa"/>
            <w:tcBorders>
              <w:top w:val="nil"/>
              <w:left w:val="nil"/>
              <w:bottom w:val="single" w:color="000000" w:sz="4" w:space="0"/>
              <w:right w:val="single" w:color="000000" w:sz="4" w:space="0"/>
            </w:tcBorders>
            <w:noWrap w:val="0"/>
            <w:vAlign w:val="center"/>
          </w:tcPr>
          <w:p w14:paraId="2BFB90DC">
            <w:pPr>
              <w:spacing w:line="400" w:lineRule="exact"/>
              <w:jc w:val="center"/>
              <w:rPr>
                <w:rFonts w:hint="eastAsia" w:ascii="仿宋_GB2312" w:eastAsia="仿宋_GB2312"/>
                <w:sz w:val="24"/>
              </w:rPr>
            </w:pPr>
            <w:r>
              <w:rPr>
                <w:rFonts w:hint="eastAsia" w:ascii="仿宋_GB2312" w:eastAsia="仿宋_GB2312"/>
                <w:sz w:val="24"/>
              </w:rPr>
              <w:t>230</w:t>
            </w:r>
          </w:p>
        </w:tc>
        <w:tc>
          <w:tcPr>
            <w:tcW w:w="1440" w:type="dxa"/>
            <w:tcBorders>
              <w:top w:val="nil"/>
              <w:left w:val="nil"/>
              <w:bottom w:val="single" w:color="000000" w:sz="4" w:space="0"/>
              <w:right w:val="single" w:color="000000" w:sz="4" w:space="0"/>
            </w:tcBorders>
            <w:noWrap w:val="0"/>
            <w:vAlign w:val="center"/>
          </w:tcPr>
          <w:p w14:paraId="4AE1034F">
            <w:pPr>
              <w:spacing w:line="400" w:lineRule="exact"/>
              <w:jc w:val="center"/>
              <w:rPr>
                <w:rFonts w:hint="eastAsia" w:ascii="仿宋_GB2312" w:eastAsia="仿宋_GB2312"/>
                <w:sz w:val="24"/>
              </w:rPr>
            </w:pPr>
            <w:r>
              <w:rPr>
                <w:rFonts w:hint="eastAsia" w:ascii="仿宋_GB2312" w:eastAsia="仿宋_GB2312"/>
                <w:sz w:val="24"/>
              </w:rPr>
              <w:t>7.5</w:t>
            </w:r>
          </w:p>
        </w:tc>
        <w:tc>
          <w:tcPr>
            <w:tcW w:w="999" w:type="dxa"/>
            <w:tcBorders>
              <w:top w:val="nil"/>
              <w:left w:val="nil"/>
              <w:bottom w:val="single" w:color="000000" w:sz="4" w:space="0"/>
              <w:right w:val="single" w:color="000000" w:sz="4" w:space="0"/>
            </w:tcBorders>
            <w:noWrap w:val="0"/>
            <w:vAlign w:val="center"/>
          </w:tcPr>
          <w:p w14:paraId="0869A8DD">
            <w:pPr>
              <w:spacing w:line="400" w:lineRule="exact"/>
              <w:jc w:val="center"/>
              <w:rPr>
                <w:rFonts w:hint="eastAsia" w:ascii="仿宋_GB2312" w:eastAsia="仿宋_GB2312"/>
                <w:sz w:val="24"/>
              </w:rPr>
            </w:pPr>
            <w:r>
              <w:rPr>
                <w:rFonts w:hint="eastAsia" w:ascii="仿宋_GB2312" w:eastAsia="仿宋_GB2312"/>
                <w:sz w:val="24"/>
              </w:rPr>
              <w:t>预期性</w:t>
            </w:r>
          </w:p>
        </w:tc>
      </w:tr>
      <w:tr w14:paraId="2C1C8A3D">
        <w:tblPrEx>
          <w:tblCellMar>
            <w:top w:w="0" w:type="dxa"/>
            <w:left w:w="108" w:type="dxa"/>
            <w:bottom w:w="0" w:type="dxa"/>
            <w:right w:w="108" w:type="dxa"/>
          </w:tblCellMar>
        </w:tblPrEx>
        <w:trPr>
          <w:wBefore w:w="0" w:type="dxa"/>
          <w:wAfter w:w="0" w:type="dxa"/>
          <w:trHeight w:val="886" w:hRule="exact"/>
          <w:jc w:val="center"/>
        </w:trPr>
        <w:tc>
          <w:tcPr>
            <w:tcW w:w="496" w:type="dxa"/>
            <w:vMerge w:val="continue"/>
            <w:tcBorders>
              <w:left w:val="single" w:color="000000" w:sz="4" w:space="0"/>
              <w:right w:val="single" w:color="000000" w:sz="4" w:space="0"/>
            </w:tcBorders>
            <w:noWrap w:val="0"/>
            <w:vAlign w:val="center"/>
          </w:tcPr>
          <w:p w14:paraId="78448F6A">
            <w:pPr>
              <w:spacing w:line="400" w:lineRule="exact"/>
              <w:jc w:val="center"/>
              <w:rPr>
                <w:rFonts w:hint="eastAsia" w:ascii="仿宋_GB2312" w:eastAsia="仿宋_GB2312"/>
                <w:kern w:val="0"/>
                <w:sz w:val="24"/>
              </w:rPr>
            </w:pPr>
          </w:p>
        </w:tc>
        <w:tc>
          <w:tcPr>
            <w:tcW w:w="496" w:type="dxa"/>
            <w:tcBorders>
              <w:top w:val="single" w:color="auto" w:sz="4" w:space="0"/>
              <w:left w:val="nil"/>
              <w:bottom w:val="single" w:color="000000" w:sz="4" w:space="0"/>
              <w:right w:val="single" w:color="000000" w:sz="4" w:space="0"/>
            </w:tcBorders>
            <w:noWrap w:val="0"/>
            <w:vAlign w:val="center"/>
          </w:tcPr>
          <w:p w14:paraId="14117130">
            <w:pPr>
              <w:spacing w:line="400" w:lineRule="exact"/>
              <w:jc w:val="center"/>
              <w:rPr>
                <w:rFonts w:hint="eastAsia" w:ascii="仿宋_GB2312" w:eastAsia="仿宋_GB2312"/>
                <w:kern w:val="0"/>
                <w:sz w:val="24"/>
              </w:rPr>
            </w:pPr>
            <w:r>
              <w:rPr>
                <w:rFonts w:hint="eastAsia" w:ascii="仿宋_GB2312" w:eastAsia="仿宋_GB2312"/>
                <w:kern w:val="0"/>
                <w:sz w:val="24"/>
              </w:rPr>
              <w:t>19</w:t>
            </w:r>
          </w:p>
        </w:tc>
        <w:tc>
          <w:tcPr>
            <w:tcW w:w="2979" w:type="dxa"/>
            <w:tcBorders>
              <w:top w:val="nil"/>
              <w:left w:val="nil"/>
              <w:bottom w:val="single" w:color="000000" w:sz="4" w:space="0"/>
              <w:right w:val="single" w:color="000000" w:sz="4" w:space="0"/>
            </w:tcBorders>
            <w:noWrap w:val="0"/>
            <w:vAlign w:val="center"/>
          </w:tcPr>
          <w:p w14:paraId="324361DC">
            <w:pPr>
              <w:spacing w:line="400" w:lineRule="exact"/>
              <w:rPr>
                <w:rFonts w:hint="eastAsia" w:ascii="仿宋_GB2312" w:eastAsia="仿宋_GB2312"/>
                <w:sz w:val="24"/>
              </w:rPr>
            </w:pPr>
            <w:r>
              <w:rPr>
                <w:rFonts w:hint="eastAsia" w:ascii="仿宋_GB2312" w:eastAsia="仿宋_GB2312"/>
                <w:sz w:val="24"/>
              </w:rPr>
              <w:t>国家级高新技术企业认定数量</w:t>
            </w:r>
          </w:p>
        </w:tc>
        <w:tc>
          <w:tcPr>
            <w:tcW w:w="868" w:type="dxa"/>
            <w:tcBorders>
              <w:top w:val="nil"/>
              <w:left w:val="nil"/>
              <w:bottom w:val="single" w:color="000000" w:sz="4" w:space="0"/>
              <w:right w:val="single" w:color="000000" w:sz="4" w:space="0"/>
            </w:tcBorders>
            <w:noWrap w:val="0"/>
            <w:vAlign w:val="center"/>
          </w:tcPr>
          <w:p w14:paraId="4AC95583">
            <w:pPr>
              <w:spacing w:line="400" w:lineRule="exact"/>
              <w:jc w:val="center"/>
              <w:rPr>
                <w:rFonts w:hint="eastAsia" w:ascii="仿宋_GB2312" w:eastAsia="仿宋_GB2312"/>
                <w:sz w:val="24"/>
              </w:rPr>
            </w:pPr>
            <w:r>
              <w:rPr>
                <w:rFonts w:hint="eastAsia" w:ascii="仿宋_GB2312" w:eastAsia="仿宋_GB2312"/>
                <w:sz w:val="24"/>
              </w:rPr>
              <w:t>家</w:t>
            </w:r>
          </w:p>
        </w:tc>
        <w:tc>
          <w:tcPr>
            <w:tcW w:w="1357" w:type="dxa"/>
            <w:tcBorders>
              <w:top w:val="nil"/>
              <w:left w:val="nil"/>
              <w:bottom w:val="single" w:color="000000" w:sz="4" w:space="0"/>
              <w:right w:val="single" w:color="000000" w:sz="4" w:space="0"/>
            </w:tcBorders>
            <w:noWrap w:val="0"/>
            <w:vAlign w:val="center"/>
          </w:tcPr>
          <w:p w14:paraId="301A48BA">
            <w:pPr>
              <w:spacing w:line="400" w:lineRule="exact"/>
              <w:jc w:val="center"/>
              <w:rPr>
                <w:rFonts w:hint="eastAsia" w:ascii="仿宋_GB2312" w:eastAsia="仿宋_GB2312"/>
                <w:sz w:val="24"/>
              </w:rPr>
            </w:pPr>
            <w:r>
              <w:rPr>
                <w:rFonts w:hint="eastAsia" w:ascii="仿宋_GB2312" w:eastAsia="仿宋_GB2312"/>
                <w:sz w:val="24"/>
              </w:rPr>
              <w:t>21</w:t>
            </w:r>
          </w:p>
        </w:tc>
        <w:tc>
          <w:tcPr>
            <w:tcW w:w="1080" w:type="dxa"/>
            <w:tcBorders>
              <w:top w:val="nil"/>
              <w:left w:val="nil"/>
              <w:bottom w:val="single" w:color="000000" w:sz="4" w:space="0"/>
              <w:right w:val="single" w:color="000000" w:sz="4" w:space="0"/>
            </w:tcBorders>
            <w:noWrap w:val="0"/>
            <w:vAlign w:val="center"/>
          </w:tcPr>
          <w:p w14:paraId="7B90D8E2">
            <w:pPr>
              <w:spacing w:line="400" w:lineRule="exact"/>
              <w:jc w:val="center"/>
              <w:rPr>
                <w:rFonts w:hint="eastAsia" w:ascii="仿宋_GB2312" w:eastAsia="仿宋_GB2312"/>
                <w:sz w:val="24"/>
              </w:rPr>
            </w:pPr>
            <w:r>
              <w:rPr>
                <w:rFonts w:hint="eastAsia" w:ascii="仿宋_GB2312" w:eastAsia="仿宋_GB2312"/>
                <w:sz w:val="24"/>
              </w:rPr>
              <w:t>25</w:t>
            </w:r>
          </w:p>
        </w:tc>
        <w:tc>
          <w:tcPr>
            <w:tcW w:w="1440" w:type="dxa"/>
            <w:tcBorders>
              <w:top w:val="nil"/>
              <w:left w:val="nil"/>
              <w:bottom w:val="single" w:color="000000" w:sz="4" w:space="0"/>
              <w:right w:val="single" w:color="000000" w:sz="4" w:space="0"/>
            </w:tcBorders>
            <w:noWrap w:val="0"/>
            <w:vAlign w:val="center"/>
          </w:tcPr>
          <w:p w14:paraId="77495228">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4BC6D347">
            <w:pPr>
              <w:spacing w:line="400" w:lineRule="exact"/>
              <w:jc w:val="center"/>
              <w:rPr>
                <w:rFonts w:hint="eastAsia" w:ascii="仿宋_GB2312" w:eastAsia="仿宋_GB2312"/>
                <w:sz w:val="24"/>
              </w:rPr>
            </w:pPr>
            <w:r>
              <w:rPr>
                <w:rFonts w:hint="eastAsia" w:ascii="仿宋_GB2312" w:eastAsia="仿宋_GB2312"/>
                <w:sz w:val="24"/>
              </w:rPr>
              <w:t>预期性</w:t>
            </w:r>
          </w:p>
        </w:tc>
      </w:tr>
      <w:tr w14:paraId="31B909D6">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bottom w:val="single" w:color="000000" w:sz="4" w:space="0"/>
              <w:right w:val="single" w:color="000000" w:sz="4" w:space="0"/>
            </w:tcBorders>
            <w:noWrap w:val="0"/>
            <w:vAlign w:val="center"/>
          </w:tcPr>
          <w:p w14:paraId="6AA15B1F">
            <w:pPr>
              <w:widowControl/>
              <w:spacing w:line="400" w:lineRule="exact"/>
              <w:jc w:val="left"/>
              <w:rPr>
                <w:rFonts w:hint="eastAsia" w:ascii="仿宋_GB2312" w:eastAsia="仿宋_GB2312"/>
                <w:kern w:val="0"/>
                <w:sz w:val="24"/>
              </w:rPr>
            </w:pPr>
          </w:p>
        </w:tc>
        <w:tc>
          <w:tcPr>
            <w:tcW w:w="496" w:type="dxa"/>
            <w:tcBorders>
              <w:top w:val="nil"/>
              <w:left w:val="nil"/>
              <w:bottom w:val="single" w:color="auto" w:sz="4" w:space="0"/>
              <w:right w:val="single" w:color="000000" w:sz="4" w:space="0"/>
            </w:tcBorders>
            <w:noWrap w:val="0"/>
            <w:vAlign w:val="center"/>
          </w:tcPr>
          <w:p w14:paraId="032B7555">
            <w:pPr>
              <w:spacing w:line="400" w:lineRule="exact"/>
              <w:jc w:val="center"/>
              <w:rPr>
                <w:rFonts w:hint="eastAsia" w:ascii="仿宋_GB2312" w:eastAsia="仿宋_GB2312"/>
                <w:kern w:val="0"/>
                <w:sz w:val="24"/>
              </w:rPr>
            </w:pPr>
            <w:r>
              <w:rPr>
                <w:rFonts w:hint="eastAsia" w:ascii="仿宋_GB2312" w:eastAsia="仿宋_GB2312"/>
                <w:kern w:val="0"/>
                <w:sz w:val="24"/>
              </w:rPr>
              <w:t>20</w:t>
            </w:r>
          </w:p>
        </w:tc>
        <w:tc>
          <w:tcPr>
            <w:tcW w:w="2979" w:type="dxa"/>
            <w:tcBorders>
              <w:top w:val="nil"/>
              <w:left w:val="nil"/>
              <w:bottom w:val="single" w:color="000000" w:sz="4" w:space="0"/>
              <w:right w:val="single" w:color="000000" w:sz="4" w:space="0"/>
            </w:tcBorders>
            <w:noWrap w:val="0"/>
            <w:vAlign w:val="center"/>
          </w:tcPr>
          <w:p w14:paraId="3B8DED8B">
            <w:pPr>
              <w:spacing w:line="400" w:lineRule="exact"/>
              <w:rPr>
                <w:rFonts w:hint="eastAsia" w:ascii="仿宋_GB2312" w:eastAsia="仿宋_GB2312"/>
                <w:sz w:val="24"/>
              </w:rPr>
            </w:pPr>
            <w:r>
              <w:rPr>
                <w:rFonts w:hint="eastAsia" w:ascii="仿宋_GB2312" w:eastAsia="仿宋_GB2312"/>
                <w:sz w:val="24"/>
              </w:rPr>
              <w:t>技术合同交易额</w:t>
            </w:r>
          </w:p>
        </w:tc>
        <w:tc>
          <w:tcPr>
            <w:tcW w:w="868" w:type="dxa"/>
            <w:tcBorders>
              <w:top w:val="nil"/>
              <w:left w:val="nil"/>
              <w:bottom w:val="single" w:color="000000" w:sz="4" w:space="0"/>
              <w:right w:val="single" w:color="000000" w:sz="4" w:space="0"/>
            </w:tcBorders>
            <w:noWrap w:val="0"/>
            <w:vAlign w:val="center"/>
          </w:tcPr>
          <w:p w14:paraId="6098E72A">
            <w:pPr>
              <w:spacing w:line="400" w:lineRule="exact"/>
              <w:jc w:val="center"/>
              <w:rPr>
                <w:rFonts w:hint="eastAsia" w:ascii="仿宋_GB2312" w:eastAsia="仿宋_GB2312"/>
                <w:sz w:val="24"/>
              </w:rPr>
            </w:pPr>
            <w:r>
              <w:rPr>
                <w:rFonts w:hint="eastAsia" w:ascii="仿宋_GB2312" w:eastAsia="仿宋_GB2312"/>
                <w:sz w:val="24"/>
              </w:rPr>
              <w:t>亿元</w:t>
            </w:r>
          </w:p>
        </w:tc>
        <w:tc>
          <w:tcPr>
            <w:tcW w:w="1357" w:type="dxa"/>
            <w:tcBorders>
              <w:top w:val="nil"/>
              <w:left w:val="nil"/>
              <w:bottom w:val="single" w:color="000000" w:sz="4" w:space="0"/>
              <w:right w:val="single" w:color="000000" w:sz="4" w:space="0"/>
            </w:tcBorders>
            <w:noWrap w:val="0"/>
            <w:vAlign w:val="center"/>
          </w:tcPr>
          <w:p w14:paraId="1CD58F81">
            <w:pPr>
              <w:spacing w:line="400" w:lineRule="exact"/>
              <w:jc w:val="center"/>
              <w:rPr>
                <w:rFonts w:hint="eastAsia" w:ascii="仿宋_GB2312" w:eastAsia="仿宋_GB2312"/>
                <w:sz w:val="24"/>
              </w:rPr>
            </w:pPr>
            <w:r>
              <w:rPr>
                <w:rFonts w:hint="eastAsia" w:ascii="仿宋_GB2312" w:eastAsia="仿宋_GB2312"/>
                <w:sz w:val="24"/>
              </w:rPr>
              <w:t>2.8</w:t>
            </w:r>
          </w:p>
        </w:tc>
        <w:tc>
          <w:tcPr>
            <w:tcW w:w="1080" w:type="dxa"/>
            <w:tcBorders>
              <w:top w:val="nil"/>
              <w:left w:val="nil"/>
              <w:bottom w:val="single" w:color="000000" w:sz="4" w:space="0"/>
              <w:right w:val="single" w:color="000000" w:sz="4" w:space="0"/>
            </w:tcBorders>
            <w:noWrap w:val="0"/>
            <w:vAlign w:val="center"/>
          </w:tcPr>
          <w:p w14:paraId="76F3DFA8">
            <w:pPr>
              <w:spacing w:line="400" w:lineRule="exact"/>
              <w:jc w:val="center"/>
              <w:rPr>
                <w:rFonts w:hint="eastAsia" w:ascii="仿宋_GB2312" w:eastAsia="仿宋_GB2312"/>
                <w:sz w:val="24"/>
              </w:rPr>
            </w:pPr>
            <w:r>
              <w:rPr>
                <w:rFonts w:hint="eastAsia" w:ascii="仿宋_GB2312" w:eastAsia="仿宋_GB2312"/>
                <w:sz w:val="24"/>
              </w:rPr>
              <w:t>4.6</w:t>
            </w:r>
          </w:p>
        </w:tc>
        <w:tc>
          <w:tcPr>
            <w:tcW w:w="1440" w:type="dxa"/>
            <w:tcBorders>
              <w:top w:val="nil"/>
              <w:left w:val="nil"/>
              <w:bottom w:val="single" w:color="000000" w:sz="4" w:space="0"/>
              <w:right w:val="single" w:color="000000" w:sz="4" w:space="0"/>
            </w:tcBorders>
            <w:noWrap w:val="0"/>
            <w:vAlign w:val="center"/>
          </w:tcPr>
          <w:p w14:paraId="66828DFE">
            <w:pPr>
              <w:spacing w:line="400" w:lineRule="exact"/>
              <w:jc w:val="center"/>
              <w:rPr>
                <w:rFonts w:hint="eastAsia" w:ascii="仿宋_GB2312" w:eastAsia="仿宋_GB2312"/>
                <w:sz w:val="24"/>
              </w:rPr>
            </w:pPr>
            <w:r>
              <w:rPr>
                <w:rFonts w:hint="eastAsia" w:ascii="仿宋_GB2312" w:eastAsia="仿宋_GB2312"/>
                <w:sz w:val="24"/>
              </w:rPr>
              <w:t>10.4</w:t>
            </w:r>
          </w:p>
        </w:tc>
        <w:tc>
          <w:tcPr>
            <w:tcW w:w="999" w:type="dxa"/>
            <w:tcBorders>
              <w:top w:val="nil"/>
              <w:left w:val="nil"/>
              <w:bottom w:val="single" w:color="000000" w:sz="4" w:space="0"/>
              <w:right w:val="single" w:color="000000" w:sz="4" w:space="0"/>
            </w:tcBorders>
            <w:noWrap w:val="0"/>
            <w:vAlign w:val="center"/>
          </w:tcPr>
          <w:p w14:paraId="648FA9E1">
            <w:pPr>
              <w:spacing w:line="400" w:lineRule="exact"/>
              <w:jc w:val="center"/>
              <w:rPr>
                <w:rFonts w:hint="eastAsia" w:ascii="仿宋_GB2312" w:eastAsia="仿宋_GB2312"/>
                <w:sz w:val="24"/>
              </w:rPr>
            </w:pPr>
            <w:r>
              <w:rPr>
                <w:rFonts w:hint="eastAsia" w:ascii="仿宋_GB2312" w:eastAsia="仿宋_GB2312"/>
                <w:sz w:val="24"/>
              </w:rPr>
              <w:t>预期性</w:t>
            </w:r>
          </w:p>
        </w:tc>
      </w:tr>
      <w:tr w14:paraId="5ACFAE38">
        <w:tblPrEx>
          <w:tblCellMar>
            <w:top w:w="0" w:type="dxa"/>
            <w:left w:w="108" w:type="dxa"/>
            <w:bottom w:w="0" w:type="dxa"/>
            <w:right w:w="108" w:type="dxa"/>
          </w:tblCellMar>
        </w:tblPrEx>
        <w:trPr>
          <w:wBefore w:w="0" w:type="dxa"/>
          <w:wAfter w:w="0" w:type="dxa"/>
          <w:trHeight w:val="397" w:hRule="exact"/>
          <w:jc w:val="center"/>
        </w:trPr>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1DB5EA6">
            <w:pPr>
              <w:spacing w:line="400" w:lineRule="exact"/>
              <w:jc w:val="center"/>
              <w:rPr>
                <w:rFonts w:hint="eastAsia" w:ascii="仿宋_GB2312" w:eastAsia="仿宋_GB2312"/>
                <w:kern w:val="0"/>
                <w:sz w:val="24"/>
              </w:rPr>
            </w:pPr>
            <w:r>
              <w:rPr>
                <w:rFonts w:hint="eastAsia" w:ascii="仿宋_GB2312" w:eastAsia="仿宋_GB2312"/>
                <w:kern w:val="0"/>
                <w:sz w:val="24"/>
              </w:rPr>
              <w:t>生态</w:t>
            </w:r>
            <w:r>
              <w:rPr>
                <w:rFonts w:hint="eastAsia" w:ascii="仿宋_GB2312" w:eastAsia="仿宋_GB2312"/>
                <w:kern w:val="0"/>
                <w:sz w:val="24"/>
              </w:rPr>
              <w:br w:type="textWrapping"/>
            </w:r>
            <w:r>
              <w:rPr>
                <w:rFonts w:hint="eastAsia" w:ascii="仿宋_GB2312" w:eastAsia="仿宋_GB2312"/>
                <w:kern w:val="0"/>
                <w:sz w:val="24"/>
              </w:rPr>
              <w:t>环境</w:t>
            </w:r>
          </w:p>
        </w:tc>
        <w:tc>
          <w:tcPr>
            <w:tcW w:w="496" w:type="dxa"/>
            <w:tcBorders>
              <w:top w:val="single" w:color="auto" w:sz="4" w:space="0"/>
              <w:left w:val="nil"/>
              <w:bottom w:val="single" w:color="000000" w:sz="4" w:space="0"/>
              <w:right w:val="single" w:color="000000" w:sz="4" w:space="0"/>
            </w:tcBorders>
            <w:noWrap w:val="0"/>
            <w:vAlign w:val="center"/>
          </w:tcPr>
          <w:p w14:paraId="0FF54AA9">
            <w:pPr>
              <w:spacing w:line="400" w:lineRule="exact"/>
              <w:jc w:val="center"/>
              <w:rPr>
                <w:rFonts w:hint="eastAsia" w:ascii="仿宋_GB2312" w:eastAsia="仿宋_GB2312"/>
                <w:kern w:val="0"/>
                <w:sz w:val="24"/>
              </w:rPr>
            </w:pPr>
            <w:r>
              <w:rPr>
                <w:rFonts w:hint="eastAsia" w:ascii="仿宋_GB2312" w:eastAsia="仿宋_GB2312"/>
                <w:kern w:val="0"/>
                <w:sz w:val="24"/>
              </w:rPr>
              <w:t>21</w:t>
            </w:r>
          </w:p>
        </w:tc>
        <w:tc>
          <w:tcPr>
            <w:tcW w:w="2979" w:type="dxa"/>
            <w:tcBorders>
              <w:top w:val="nil"/>
              <w:left w:val="nil"/>
              <w:bottom w:val="single" w:color="000000" w:sz="4" w:space="0"/>
              <w:right w:val="single" w:color="000000" w:sz="4" w:space="0"/>
            </w:tcBorders>
            <w:noWrap w:val="0"/>
            <w:vAlign w:val="center"/>
          </w:tcPr>
          <w:p w14:paraId="35F869C6">
            <w:pPr>
              <w:widowControl/>
              <w:spacing w:line="400" w:lineRule="exact"/>
              <w:jc w:val="left"/>
              <w:rPr>
                <w:rFonts w:hint="eastAsia" w:ascii="仿宋_GB2312" w:eastAsia="仿宋_GB2312"/>
                <w:kern w:val="0"/>
                <w:sz w:val="24"/>
              </w:rPr>
            </w:pPr>
            <w:r>
              <w:rPr>
                <w:rFonts w:hint="eastAsia" w:ascii="仿宋_GB2312" w:eastAsia="仿宋_GB2312"/>
                <w:kern w:val="0"/>
                <w:sz w:val="24"/>
              </w:rPr>
              <w:t>城市绿化覆盖率</w:t>
            </w:r>
          </w:p>
        </w:tc>
        <w:tc>
          <w:tcPr>
            <w:tcW w:w="868" w:type="dxa"/>
            <w:tcBorders>
              <w:top w:val="nil"/>
              <w:left w:val="nil"/>
              <w:bottom w:val="single" w:color="000000" w:sz="4" w:space="0"/>
              <w:right w:val="single" w:color="000000" w:sz="4" w:space="0"/>
            </w:tcBorders>
            <w:noWrap w:val="0"/>
            <w:vAlign w:val="center"/>
          </w:tcPr>
          <w:p w14:paraId="08A22A5A">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nil"/>
              <w:left w:val="nil"/>
              <w:bottom w:val="single" w:color="000000" w:sz="4" w:space="0"/>
              <w:right w:val="single" w:color="000000" w:sz="4" w:space="0"/>
            </w:tcBorders>
            <w:noWrap w:val="0"/>
            <w:vAlign w:val="center"/>
          </w:tcPr>
          <w:p w14:paraId="585A253E">
            <w:pPr>
              <w:spacing w:line="400" w:lineRule="exact"/>
              <w:jc w:val="center"/>
              <w:rPr>
                <w:rFonts w:hint="eastAsia" w:ascii="仿宋_GB2312" w:eastAsia="仿宋_GB2312"/>
                <w:sz w:val="24"/>
              </w:rPr>
            </w:pPr>
            <w:r>
              <w:rPr>
                <w:rFonts w:hint="eastAsia" w:ascii="仿宋_GB2312" w:eastAsia="仿宋_GB2312"/>
                <w:sz w:val="24"/>
              </w:rPr>
              <w:t>44.1</w:t>
            </w:r>
          </w:p>
        </w:tc>
        <w:tc>
          <w:tcPr>
            <w:tcW w:w="1080" w:type="dxa"/>
            <w:tcBorders>
              <w:top w:val="nil"/>
              <w:left w:val="nil"/>
              <w:bottom w:val="single" w:color="000000" w:sz="4" w:space="0"/>
              <w:right w:val="single" w:color="000000" w:sz="4" w:space="0"/>
            </w:tcBorders>
            <w:noWrap w:val="0"/>
            <w:vAlign w:val="center"/>
          </w:tcPr>
          <w:p w14:paraId="3511A675">
            <w:pPr>
              <w:spacing w:line="400" w:lineRule="exact"/>
              <w:jc w:val="center"/>
              <w:rPr>
                <w:rFonts w:hint="eastAsia" w:ascii="仿宋_GB2312" w:eastAsia="仿宋_GB2312"/>
                <w:sz w:val="24"/>
              </w:rPr>
            </w:pPr>
            <w:r>
              <w:rPr>
                <w:rFonts w:hint="eastAsia" w:ascii="仿宋_GB2312" w:eastAsia="仿宋_GB2312"/>
                <w:sz w:val="24"/>
              </w:rPr>
              <w:t>44.28</w:t>
            </w:r>
          </w:p>
        </w:tc>
        <w:tc>
          <w:tcPr>
            <w:tcW w:w="1440" w:type="dxa"/>
            <w:tcBorders>
              <w:top w:val="nil"/>
              <w:left w:val="nil"/>
              <w:bottom w:val="single" w:color="000000" w:sz="4" w:space="0"/>
              <w:right w:val="single" w:color="000000" w:sz="4" w:space="0"/>
            </w:tcBorders>
            <w:noWrap w:val="0"/>
            <w:vAlign w:val="center"/>
          </w:tcPr>
          <w:p w14:paraId="54CCF510">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nil"/>
              <w:left w:val="nil"/>
              <w:bottom w:val="single" w:color="000000" w:sz="4" w:space="0"/>
              <w:right w:val="single" w:color="000000" w:sz="4" w:space="0"/>
            </w:tcBorders>
            <w:noWrap w:val="0"/>
            <w:vAlign w:val="center"/>
          </w:tcPr>
          <w:p w14:paraId="5A3D637A">
            <w:pPr>
              <w:spacing w:line="400" w:lineRule="exact"/>
              <w:jc w:val="center"/>
              <w:rPr>
                <w:rFonts w:hint="eastAsia" w:ascii="仿宋_GB2312" w:eastAsia="仿宋_GB2312"/>
                <w:sz w:val="24"/>
              </w:rPr>
            </w:pPr>
            <w:r>
              <w:rPr>
                <w:rFonts w:hint="eastAsia" w:ascii="仿宋_GB2312" w:eastAsia="仿宋_GB2312"/>
                <w:sz w:val="24"/>
              </w:rPr>
              <w:t xml:space="preserve">约束性 </w:t>
            </w:r>
          </w:p>
        </w:tc>
      </w:tr>
      <w:tr w14:paraId="30E5DDC3">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bottom w:val="single" w:color="000000" w:sz="4" w:space="0"/>
              <w:right w:val="single" w:color="000000" w:sz="4" w:space="0"/>
            </w:tcBorders>
            <w:noWrap w:val="0"/>
            <w:vAlign w:val="center"/>
          </w:tcPr>
          <w:p w14:paraId="02EBDEE5">
            <w:pPr>
              <w:spacing w:line="400" w:lineRule="exact"/>
              <w:jc w:val="center"/>
              <w:rPr>
                <w:rFonts w:hint="eastAsia" w:ascii="仿宋_GB2312" w:eastAsia="仿宋_GB2312"/>
                <w:kern w:val="0"/>
                <w:sz w:val="24"/>
              </w:rPr>
            </w:pPr>
          </w:p>
        </w:tc>
        <w:tc>
          <w:tcPr>
            <w:tcW w:w="496" w:type="dxa"/>
            <w:tcBorders>
              <w:top w:val="single" w:color="auto" w:sz="4" w:space="0"/>
              <w:left w:val="nil"/>
              <w:bottom w:val="single" w:color="000000" w:sz="4" w:space="0"/>
              <w:right w:val="single" w:color="000000" w:sz="4" w:space="0"/>
            </w:tcBorders>
            <w:noWrap w:val="0"/>
            <w:vAlign w:val="center"/>
          </w:tcPr>
          <w:p w14:paraId="7B3DCA41">
            <w:pPr>
              <w:spacing w:line="400" w:lineRule="exact"/>
              <w:jc w:val="center"/>
              <w:rPr>
                <w:rFonts w:hint="eastAsia" w:ascii="仿宋_GB2312" w:eastAsia="仿宋_GB2312"/>
                <w:kern w:val="0"/>
                <w:sz w:val="24"/>
              </w:rPr>
            </w:pPr>
            <w:r>
              <w:rPr>
                <w:rFonts w:hint="eastAsia" w:ascii="仿宋_GB2312" w:eastAsia="仿宋_GB2312"/>
                <w:kern w:val="0"/>
                <w:sz w:val="24"/>
              </w:rPr>
              <w:t>22</w:t>
            </w:r>
          </w:p>
        </w:tc>
        <w:tc>
          <w:tcPr>
            <w:tcW w:w="2979" w:type="dxa"/>
            <w:tcBorders>
              <w:top w:val="single" w:color="000000" w:sz="4" w:space="0"/>
              <w:left w:val="nil"/>
              <w:bottom w:val="single" w:color="000000" w:sz="4" w:space="0"/>
              <w:right w:val="single" w:color="000000" w:sz="4" w:space="0"/>
            </w:tcBorders>
            <w:noWrap w:val="0"/>
            <w:vAlign w:val="center"/>
          </w:tcPr>
          <w:p w14:paraId="146E3CC1">
            <w:pPr>
              <w:widowControl/>
              <w:spacing w:line="400" w:lineRule="exact"/>
              <w:jc w:val="left"/>
              <w:rPr>
                <w:rFonts w:hint="eastAsia" w:ascii="仿宋_GB2312" w:eastAsia="仿宋_GB2312"/>
                <w:kern w:val="0"/>
                <w:sz w:val="24"/>
              </w:rPr>
            </w:pPr>
            <w:r>
              <w:rPr>
                <w:rFonts w:hint="eastAsia" w:ascii="仿宋_GB2312" w:eastAsia="仿宋_GB2312"/>
                <w:kern w:val="0"/>
                <w:sz w:val="24"/>
              </w:rPr>
              <w:t>垃圾密闭式收集率</w:t>
            </w:r>
          </w:p>
        </w:tc>
        <w:tc>
          <w:tcPr>
            <w:tcW w:w="868" w:type="dxa"/>
            <w:tcBorders>
              <w:top w:val="single" w:color="000000" w:sz="4" w:space="0"/>
              <w:left w:val="nil"/>
              <w:bottom w:val="single" w:color="000000" w:sz="4" w:space="0"/>
              <w:right w:val="single" w:color="000000" w:sz="4" w:space="0"/>
            </w:tcBorders>
            <w:noWrap w:val="0"/>
            <w:vAlign w:val="center"/>
          </w:tcPr>
          <w:p w14:paraId="2A73CCDF">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single" w:color="000000" w:sz="4" w:space="0"/>
              <w:left w:val="nil"/>
              <w:bottom w:val="single" w:color="000000" w:sz="4" w:space="0"/>
              <w:right w:val="single" w:color="000000" w:sz="4" w:space="0"/>
            </w:tcBorders>
            <w:noWrap w:val="0"/>
            <w:vAlign w:val="center"/>
          </w:tcPr>
          <w:p w14:paraId="3E23F233">
            <w:pPr>
              <w:spacing w:line="400" w:lineRule="exact"/>
              <w:jc w:val="center"/>
              <w:rPr>
                <w:rFonts w:hint="eastAsia" w:ascii="仿宋_GB2312" w:eastAsia="仿宋_GB2312"/>
                <w:sz w:val="24"/>
              </w:rPr>
            </w:pPr>
            <w:r>
              <w:rPr>
                <w:rFonts w:hint="eastAsia" w:ascii="仿宋_GB2312" w:eastAsia="仿宋_GB2312"/>
                <w:sz w:val="24"/>
              </w:rPr>
              <w:t>100</w:t>
            </w:r>
          </w:p>
        </w:tc>
        <w:tc>
          <w:tcPr>
            <w:tcW w:w="1080" w:type="dxa"/>
            <w:tcBorders>
              <w:top w:val="single" w:color="000000" w:sz="4" w:space="0"/>
              <w:left w:val="nil"/>
              <w:bottom w:val="single" w:color="000000" w:sz="4" w:space="0"/>
              <w:right w:val="single" w:color="000000" w:sz="4" w:space="0"/>
            </w:tcBorders>
            <w:noWrap w:val="0"/>
            <w:vAlign w:val="center"/>
          </w:tcPr>
          <w:p w14:paraId="2B5B925B">
            <w:pPr>
              <w:spacing w:line="400" w:lineRule="exact"/>
              <w:jc w:val="center"/>
              <w:rPr>
                <w:rFonts w:hint="eastAsia" w:ascii="仿宋_GB2312" w:eastAsia="仿宋_GB2312"/>
                <w:sz w:val="24"/>
              </w:rPr>
            </w:pPr>
            <w:r>
              <w:rPr>
                <w:rFonts w:hint="eastAsia" w:ascii="仿宋_GB2312" w:eastAsia="仿宋_GB2312"/>
                <w:sz w:val="24"/>
              </w:rPr>
              <w:t>100</w:t>
            </w:r>
          </w:p>
        </w:tc>
        <w:tc>
          <w:tcPr>
            <w:tcW w:w="1440" w:type="dxa"/>
            <w:tcBorders>
              <w:top w:val="single" w:color="000000" w:sz="4" w:space="0"/>
              <w:left w:val="nil"/>
              <w:bottom w:val="single" w:color="000000" w:sz="4" w:space="0"/>
              <w:right w:val="single" w:color="000000" w:sz="4" w:space="0"/>
            </w:tcBorders>
            <w:noWrap w:val="0"/>
            <w:vAlign w:val="center"/>
          </w:tcPr>
          <w:p w14:paraId="060A55F6">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000000" w:sz="4" w:space="0"/>
              <w:left w:val="nil"/>
              <w:bottom w:val="single" w:color="000000" w:sz="4" w:space="0"/>
              <w:right w:val="single" w:color="000000" w:sz="4" w:space="0"/>
            </w:tcBorders>
            <w:noWrap w:val="0"/>
            <w:vAlign w:val="center"/>
          </w:tcPr>
          <w:p w14:paraId="05883956">
            <w:pPr>
              <w:spacing w:line="400" w:lineRule="exact"/>
              <w:jc w:val="center"/>
              <w:rPr>
                <w:rFonts w:hint="eastAsia" w:ascii="仿宋_GB2312" w:eastAsia="仿宋_GB2312"/>
                <w:sz w:val="24"/>
              </w:rPr>
            </w:pPr>
            <w:r>
              <w:rPr>
                <w:rFonts w:hint="eastAsia" w:ascii="仿宋_GB2312" w:eastAsia="仿宋_GB2312"/>
                <w:sz w:val="24"/>
              </w:rPr>
              <w:t xml:space="preserve">约束性 </w:t>
            </w:r>
          </w:p>
        </w:tc>
      </w:tr>
      <w:tr w14:paraId="0742430B">
        <w:tblPrEx>
          <w:tblCellMar>
            <w:top w:w="0" w:type="dxa"/>
            <w:left w:w="108" w:type="dxa"/>
            <w:bottom w:w="0" w:type="dxa"/>
            <w:right w:w="108" w:type="dxa"/>
          </w:tblCellMar>
        </w:tblPrEx>
        <w:trPr>
          <w:wBefore w:w="0" w:type="dxa"/>
          <w:wAfter w:w="0" w:type="dxa"/>
          <w:trHeight w:val="397" w:hRule="exact"/>
          <w:jc w:val="center"/>
        </w:trPr>
        <w:tc>
          <w:tcPr>
            <w:tcW w:w="496" w:type="dxa"/>
            <w:vMerge w:val="continue"/>
            <w:tcBorders>
              <w:left w:val="single" w:color="000000" w:sz="4" w:space="0"/>
              <w:bottom w:val="single" w:color="000000" w:sz="4" w:space="0"/>
              <w:right w:val="single" w:color="000000" w:sz="4" w:space="0"/>
            </w:tcBorders>
            <w:noWrap w:val="0"/>
            <w:vAlign w:val="center"/>
          </w:tcPr>
          <w:p w14:paraId="70F7F23C">
            <w:pPr>
              <w:widowControl/>
              <w:spacing w:line="400" w:lineRule="exact"/>
              <w:jc w:val="left"/>
              <w:rPr>
                <w:rFonts w:hint="eastAsia" w:ascii="仿宋_GB2312" w:eastAsia="仿宋_GB2312"/>
                <w:kern w:val="0"/>
                <w:sz w:val="24"/>
              </w:rPr>
            </w:pPr>
          </w:p>
        </w:tc>
        <w:tc>
          <w:tcPr>
            <w:tcW w:w="496" w:type="dxa"/>
            <w:tcBorders>
              <w:top w:val="single" w:color="000000" w:sz="4" w:space="0"/>
              <w:left w:val="nil"/>
              <w:bottom w:val="single" w:color="000000" w:sz="4" w:space="0"/>
              <w:right w:val="single" w:color="000000" w:sz="4" w:space="0"/>
            </w:tcBorders>
            <w:noWrap w:val="0"/>
            <w:vAlign w:val="center"/>
          </w:tcPr>
          <w:p w14:paraId="03416F24">
            <w:pPr>
              <w:spacing w:line="400" w:lineRule="exact"/>
              <w:jc w:val="center"/>
              <w:rPr>
                <w:rFonts w:hint="eastAsia" w:ascii="仿宋_GB2312" w:eastAsia="仿宋_GB2312"/>
                <w:kern w:val="0"/>
                <w:sz w:val="24"/>
              </w:rPr>
            </w:pPr>
            <w:r>
              <w:rPr>
                <w:rFonts w:hint="eastAsia" w:ascii="仿宋_GB2312" w:eastAsia="仿宋_GB2312"/>
                <w:kern w:val="0"/>
                <w:sz w:val="24"/>
              </w:rPr>
              <w:t>23</w:t>
            </w:r>
          </w:p>
        </w:tc>
        <w:tc>
          <w:tcPr>
            <w:tcW w:w="2979" w:type="dxa"/>
            <w:tcBorders>
              <w:top w:val="single" w:color="000000" w:sz="4" w:space="0"/>
              <w:left w:val="nil"/>
              <w:bottom w:val="single" w:color="000000" w:sz="4" w:space="0"/>
              <w:right w:val="single" w:color="000000" w:sz="4" w:space="0"/>
            </w:tcBorders>
            <w:noWrap w:val="0"/>
            <w:vAlign w:val="center"/>
          </w:tcPr>
          <w:p w14:paraId="6E9F3B16">
            <w:pPr>
              <w:widowControl/>
              <w:spacing w:line="400" w:lineRule="exact"/>
              <w:jc w:val="left"/>
              <w:rPr>
                <w:rFonts w:hint="eastAsia" w:ascii="仿宋_GB2312" w:eastAsia="仿宋_GB2312"/>
                <w:kern w:val="0"/>
                <w:sz w:val="24"/>
              </w:rPr>
            </w:pPr>
            <w:r>
              <w:rPr>
                <w:rFonts w:hint="eastAsia" w:ascii="仿宋_GB2312" w:eastAsia="仿宋_GB2312"/>
                <w:kern w:val="0"/>
                <w:sz w:val="24"/>
              </w:rPr>
              <w:t>城区集中供热率</w:t>
            </w:r>
          </w:p>
        </w:tc>
        <w:tc>
          <w:tcPr>
            <w:tcW w:w="868" w:type="dxa"/>
            <w:tcBorders>
              <w:top w:val="single" w:color="000000" w:sz="4" w:space="0"/>
              <w:left w:val="nil"/>
              <w:bottom w:val="single" w:color="000000" w:sz="4" w:space="0"/>
              <w:right w:val="single" w:color="000000" w:sz="4" w:space="0"/>
            </w:tcBorders>
            <w:noWrap w:val="0"/>
            <w:vAlign w:val="center"/>
          </w:tcPr>
          <w:p w14:paraId="435BCA47">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single" w:color="000000" w:sz="4" w:space="0"/>
              <w:left w:val="nil"/>
              <w:bottom w:val="single" w:color="000000" w:sz="4" w:space="0"/>
              <w:right w:val="single" w:color="000000" w:sz="4" w:space="0"/>
            </w:tcBorders>
            <w:noWrap w:val="0"/>
            <w:vAlign w:val="center"/>
          </w:tcPr>
          <w:p w14:paraId="228B987B">
            <w:pPr>
              <w:spacing w:line="400" w:lineRule="exact"/>
              <w:jc w:val="center"/>
              <w:rPr>
                <w:rFonts w:hint="eastAsia" w:ascii="仿宋_GB2312" w:eastAsia="仿宋_GB2312"/>
                <w:sz w:val="24"/>
              </w:rPr>
            </w:pPr>
            <w:r>
              <w:rPr>
                <w:rFonts w:hint="eastAsia" w:ascii="仿宋_GB2312" w:eastAsia="仿宋_GB2312"/>
                <w:sz w:val="24"/>
              </w:rPr>
              <w:t>99</w:t>
            </w:r>
          </w:p>
        </w:tc>
        <w:tc>
          <w:tcPr>
            <w:tcW w:w="1080" w:type="dxa"/>
            <w:tcBorders>
              <w:top w:val="single" w:color="000000" w:sz="4" w:space="0"/>
              <w:left w:val="nil"/>
              <w:bottom w:val="single" w:color="000000" w:sz="4" w:space="0"/>
              <w:right w:val="single" w:color="000000" w:sz="4" w:space="0"/>
            </w:tcBorders>
            <w:noWrap w:val="0"/>
            <w:vAlign w:val="center"/>
          </w:tcPr>
          <w:p w14:paraId="529563F1">
            <w:pPr>
              <w:spacing w:line="400" w:lineRule="exact"/>
              <w:jc w:val="center"/>
              <w:rPr>
                <w:rFonts w:hint="eastAsia" w:ascii="仿宋_GB2312" w:eastAsia="仿宋_GB2312"/>
                <w:sz w:val="24"/>
              </w:rPr>
            </w:pPr>
            <w:r>
              <w:rPr>
                <w:rFonts w:hint="eastAsia" w:ascii="仿宋_GB2312" w:eastAsia="仿宋_GB2312"/>
                <w:sz w:val="24"/>
              </w:rPr>
              <w:t>100</w:t>
            </w:r>
          </w:p>
        </w:tc>
        <w:tc>
          <w:tcPr>
            <w:tcW w:w="1440" w:type="dxa"/>
            <w:tcBorders>
              <w:top w:val="single" w:color="000000" w:sz="4" w:space="0"/>
              <w:left w:val="nil"/>
              <w:bottom w:val="single" w:color="000000" w:sz="4" w:space="0"/>
              <w:right w:val="single" w:color="000000" w:sz="4" w:space="0"/>
            </w:tcBorders>
            <w:noWrap w:val="0"/>
            <w:vAlign w:val="center"/>
          </w:tcPr>
          <w:p w14:paraId="120EA371">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000000" w:sz="4" w:space="0"/>
              <w:left w:val="nil"/>
              <w:bottom w:val="single" w:color="000000" w:sz="4" w:space="0"/>
              <w:right w:val="single" w:color="000000" w:sz="4" w:space="0"/>
            </w:tcBorders>
            <w:noWrap w:val="0"/>
            <w:vAlign w:val="center"/>
          </w:tcPr>
          <w:p w14:paraId="4666FABC">
            <w:pPr>
              <w:spacing w:line="400" w:lineRule="exact"/>
              <w:jc w:val="center"/>
              <w:rPr>
                <w:rFonts w:hint="eastAsia" w:ascii="仿宋_GB2312" w:eastAsia="仿宋_GB2312"/>
                <w:sz w:val="24"/>
              </w:rPr>
            </w:pPr>
            <w:r>
              <w:rPr>
                <w:rFonts w:hint="eastAsia" w:ascii="仿宋_GB2312" w:eastAsia="仿宋_GB2312"/>
                <w:sz w:val="24"/>
              </w:rPr>
              <w:t>约束性</w:t>
            </w:r>
          </w:p>
        </w:tc>
      </w:tr>
      <w:tr w14:paraId="1B60C5D0">
        <w:tblPrEx>
          <w:tblCellMar>
            <w:top w:w="0" w:type="dxa"/>
            <w:left w:w="108" w:type="dxa"/>
            <w:bottom w:w="0" w:type="dxa"/>
            <w:right w:w="108" w:type="dxa"/>
          </w:tblCellMar>
        </w:tblPrEx>
        <w:trPr>
          <w:wBefore w:w="0" w:type="dxa"/>
          <w:wAfter w:w="0" w:type="dxa"/>
          <w:trHeight w:val="973" w:hRule="exact"/>
          <w:jc w:val="center"/>
        </w:trPr>
        <w:tc>
          <w:tcPr>
            <w:tcW w:w="496" w:type="dxa"/>
            <w:vMerge w:val="continue"/>
            <w:tcBorders>
              <w:left w:val="single" w:color="000000" w:sz="4" w:space="0"/>
              <w:bottom w:val="single" w:color="000000" w:sz="4" w:space="0"/>
              <w:right w:val="single" w:color="000000" w:sz="4" w:space="0"/>
            </w:tcBorders>
            <w:noWrap w:val="0"/>
            <w:vAlign w:val="center"/>
          </w:tcPr>
          <w:p w14:paraId="7830490D">
            <w:pPr>
              <w:widowControl/>
              <w:spacing w:line="400" w:lineRule="exact"/>
              <w:jc w:val="left"/>
              <w:rPr>
                <w:rFonts w:hint="eastAsia" w:ascii="仿宋_GB2312" w:eastAsia="仿宋_GB2312"/>
                <w:kern w:val="0"/>
                <w:sz w:val="24"/>
              </w:rPr>
            </w:pPr>
          </w:p>
        </w:tc>
        <w:tc>
          <w:tcPr>
            <w:tcW w:w="496" w:type="dxa"/>
            <w:tcBorders>
              <w:top w:val="single" w:color="000000" w:sz="4" w:space="0"/>
              <w:left w:val="nil"/>
              <w:bottom w:val="single" w:color="000000" w:sz="4" w:space="0"/>
              <w:right w:val="single" w:color="000000" w:sz="4" w:space="0"/>
            </w:tcBorders>
            <w:noWrap w:val="0"/>
            <w:vAlign w:val="center"/>
          </w:tcPr>
          <w:p w14:paraId="32DFA679">
            <w:pPr>
              <w:spacing w:line="400" w:lineRule="exact"/>
              <w:jc w:val="center"/>
              <w:rPr>
                <w:rFonts w:hint="eastAsia" w:ascii="仿宋_GB2312" w:eastAsia="仿宋_GB2312"/>
                <w:kern w:val="0"/>
                <w:sz w:val="24"/>
              </w:rPr>
            </w:pPr>
            <w:r>
              <w:rPr>
                <w:rFonts w:hint="eastAsia" w:ascii="仿宋_GB2312" w:eastAsia="仿宋_GB2312"/>
                <w:kern w:val="0"/>
                <w:sz w:val="24"/>
              </w:rPr>
              <w:t>24</w:t>
            </w:r>
          </w:p>
        </w:tc>
        <w:tc>
          <w:tcPr>
            <w:tcW w:w="2979" w:type="dxa"/>
            <w:tcBorders>
              <w:top w:val="single" w:color="000000" w:sz="4" w:space="0"/>
              <w:left w:val="nil"/>
              <w:bottom w:val="single" w:color="000000" w:sz="4" w:space="0"/>
              <w:right w:val="single" w:color="000000" w:sz="4" w:space="0"/>
            </w:tcBorders>
            <w:noWrap w:val="0"/>
            <w:vAlign w:val="center"/>
          </w:tcPr>
          <w:p w14:paraId="158473BD">
            <w:pPr>
              <w:widowControl/>
              <w:spacing w:line="400" w:lineRule="exact"/>
              <w:jc w:val="left"/>
              <w:rPr>
                <w:rFonts w:hint="eastAsia" w:ascii="仿宋_GB2312" w:eastAsia="仿宋_GB2312"/>
                <w:kern w:val="0"/>
                <w:sz w:val="24"/>
              </w:rPr>
            </w:pPr>
            <w:r>
              <w:rPr>
                <w:rFonts w:hint="eastAsia" w:ascii="仿宋_GB2312" w:eastAsia="仿宋_GB2312"/>
                <w:kern w:val="0"/>
                <w:sz w:val="24"/>
              </w:rPr>
              <w:t>万元地区生产总值能耗降低率</w:t>
            </w:r>
          </w:p>
        </w:tc>
        <w:tc>
          <w:tcPr>
            <w:tcW w:w="868" w:type="dxa"/>
            <w:tcBorders>
              <w:top w:val="single" w:color="000000" w:sz="4" w:space="0"/>
              <w:left w:val="nil"/>
              <w:bottom w:val="single" w:color="000000" w:sz="4" w:space="0"/>
              <w:right w:val="single" w:color="000000" w:sz="4" w:space="0"/>
            </w:tcBorders>
            <w:noWrap w:val="0"/>
            <w:vAlign w:val="center"/>
          </w:tcPr>
          <w:p w14:paraId="09957458">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single" w:color="000000" w:sz="4" w:space="0"/>
              <w:left w:val="nil"/>
              <w:bottom w:val="single" w:color="000000" w:sz="4" w:space="0"/>
              <w:right w:val="single" w:color="000000" w:sz="4" w:space="0"/>
            </w:tcBorders>
            <w:noWrap w:val="0"/>
            <w:vAlign w:val="center"/>
          </w:tcPr>
          <w:p w14:paraId="52467DC8">
            <w:pPr>
              <w:spacing w:line="400" w:lineRule="exact"/>
              <w:jc w:val="center"/>
              <w:rPr>
                <w:rFonts w:hint="eastAsia" w:ascii="仿宋_GB2312" w:eastAsia="仿宋_GB2312"/>
                <w:sz w:val="24"/>
              </w:rPr>
            </w:pPr>
            <w:r>
              <w:rPr>
                <w:rFonts w:hint="eastAsia" w:ascii="仿宋_GB2312" w:eastAsia="仿宋_GB2312"/>
                <w:sz w:val="24"/>
              </w:rPr>
              <w:t>3.8</w:t>
            </w:r>
          </w:p>
        </w:tc>
        <w:tc>
          <w:tcPr>
            <w:tcW w:w="1080" w:type="dxa"/>
            <w:tcBorders>
              <w:top w:val="single" w:color="000000" w:sz="4" w:space="0"/>
              <w:left w:val="nil"/>
              <w:bottom w:val="single" w:color="000000" w:sz="4" w:space="0"/>
              <w:right w:val="single" w:color="000000" w:sz="4" w:space="0"/>
            </w:tcBorders>
            <w:noWrap w:val="0"/>
            <w:vAlign w:val="center"/>
          </w:tcPr>
          <w:p w14:paraId="07FFB14F">
            <w:pPr>
              <w:spacing w:line="400" w:lineRule="exact"/>
              <w:rPr>
                <w:rFonts w:hint="eastAsia" w:ascii="仿宋_GB2312" w:eastAsia="仿宋_GB2312"/>
                <w:sz w:val="24"/>
              </w:rPr>
            </w:pPr>
            <w:r>
              <w:rPr>
                <w:rFonts w:hint="eastAsia" w:ascii="仿宋_GB2312" w:eastAsia="仿宋_GB2312"/>
                <w:sz w:val="24"/>
              </w:rPr>
              <w:t>市下达任务</w:t>
            </w:r>
          </w:p>
        </w:tc>
        <w:tc>
          <w:tcPr>
            <w:tcW w:w="1440" w:type="dxa"/>
            <w:tcBorders>
              <w:top w:val="single" w:color="000000" w:sz="4" w:space="0"/>
              <w:left w:val="nil"/>
              <w:bottom w:val="single" w:color="000000" w:sz="4" w:space="0"/>
              <w:right w:val="single" w:color="000000" w:sz="4" w:space="0"/>
            </w:tcBorders>
            <w:noWrap w:val="0"/>
            <w:vAlign w:val="center"/>
          </w:tcPr>
          <w:p w14:paraId="322448CD">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000000" w:sz="4" w:space="0"/>
              <w:left w:val="nil"/>
              <w:bottom w:val="single" w:color="000000" w:sz="4" w:space="0"/>
              <w:right w:val="single" w:color="000000" w:sz="4" w:space="0"/>
            </w:tcBorders>
            <w:noWrap w:val="0"/>
            <w:vAlign w:val="center"/>
          </w:tcPr>
          <w:p w14:paraId="6DB31C70">
            <w:pPr>
              <w:spacing w:line="400" w:lineRule="exact"/>
              <w:jc w:val="center"/>
              <w:rPr>
                <w:rFonts w:hint="eastAsia" w:ascii="仿宋_GB2312" w:eastAsia="仿宋_GB2312"/>
                <w:sz w:val="24"/>
              </w:rPr>
            </w:pPr>
            <w:r>
              <w:rPr>
                <w:rFonts w:hint="eastAsia" w:ascii="仿宋_GB2312" w:eastAsia="仿宋_GB2312"/>
                <w:sz w:val="24"/>
              </w:rPr>
              <w:t>约束性</w:t>
            </w:r>
          </w:p>
        </w:tc>
      </w:tr>
      <w:tr w14:paraId="0E53C9C4">
        <w:tblPrEx>
          <w:tblCellMar>
            <w:top w:w="0" w:type="dxa"/>
            <w:left w:w="108" w:type="dxa"/>
            <w:bottom w:w="0" w:type="dxa"/>
            <w:right w:w="108" w:type="dxa"/>
          </w:tblCellMar>
        </w:tblPrEx>
        <w:trPr>
          <w:wBefore w:w="0" w:type="dxa"/>
          <w:wAfter w:w="0" w:type="dxa"/>
          <w:trHeight w:val="1241" w:hRule="exact"/>
          <w:jc w:val="center"/>
        </w:trPr>
        <w:tc>
          <w:tcPr>
            <w:tcW w:w="496" w:type="dxa"/>
            <w:vMerge w:val="continue"/>
            <w:tcBorders>
              <w:left w:val="single" w:color="000000" w:sz="4" w:space="0"/>
              <w:bottom w:val="single" w:color="000000" w:sz="4" w:space="0"/>
              <w:right w:val="single" w:color="000000" w:sz="4" w:space="0"/>
            </w:tcBorders>
            <w:noWrap w:val="0"/>
            <w:vAlign w:val="center"/>
          </w:tcPr>
          <w:p w14:paraId="21CD5233">
            <w:pPr>
              <w:widowControl/>
              <w:spacing w:line="400" w:lineRule="exact"/>
              <w:jc w:val="left"/>
              <w:rPr>
                <w:rFonts w:hint="eastAsia" w:ascii="仿宋_GB2312" w:eastAsia="仿宋_GB2312"/>
                <w:kern w:val="0"/>
                <w:sz w:val="24"/>
              </w:rPr>
            </w:pPr>
          </w:p>
        </w:tc>
        <w:tc>
          <w:tcPr>
            <w:tcW w:w="496" w:type="dxa"/>
            <w:tcBorders>
              <w:top w:val="single" w:color="000000" w:sz="4" w:space="0"/>
              <w:left w:val="nil"/>
              <w:bottom w:val="single" w:color="auto" w:sz="4" w:space="0"/>
              <w:right w:val="single" w:color="000000" w:sz="4" w:space="0"/>
            </w:tcBorders>
            <w:noWrap w:val="0"/>
            <w:vAlign w:val="center"/>
          </w:tcPr>
          <w:p w14:paraId="5931EF06">
            <w:pPr>
              <w:spacing w:line="400" w:lineRule="exact"/>
              <w:jc w:val="center"/>
              <w:rPr>
                <w:rFonts w:hint="eastAsia" w:ascii="仿宋_GB2312" w:eastAsia="仿宋_GB2312"/>
                <w:kern w:val="0"/>
                <w:sz w:val="24"/>
              </w:rPr>
            </w:pPr>
            <w:r>
              <w:rPr>
                <w:rFonts w:hint="eastAsia" w:ascii="仿宋_GB2312" w:eastAsia="仿宋_GB2312"/>
                <w:kern w:val="0"/>
                <w:sz w:val="24"/>
              </w:rPr>
              <w:t>25</w:t>
            </w:r>
          </w:p>
        </w:tc>
        <w:tc>
          <w:tcPr>
            <w:tcW w:w="2979" w:type="dxa"/>
            <w:tcBorders>
              <w:top w:val="single" w:color="000000" w:sz="4" w:space="0"/>
              <w:left w:val="nil"/>
              <w:bottom w:val="single" w:color="auto" w:sz="4" w:space="0"/>
              <w:right w:val="single" w:color="000000" w:sz="4" w:space="0"/>
            </w:tcBorders>
            <w:noWrap w:val="0"/>
            <w:vAlign w:val="center"/>
          </w:tcPr>
          <w:p w14:paraId="5A835301">
            <w:pPr>
              <w:spacing w:line="400" w:lineRule="exact"/>
              <w:jc w:val="left"/>
              <w:rPr>
                <w:rFonts w:hint="eastAsia" w:ascii="仿宋_GB2312" w:eastAsia="仿宋_GB2312"/>
                <w:kern w:val="0"/>
                <w:sz w:val="24"/>
              </w:rPr>
            </w:pPr>
            <w:r>
              <w:rPr>
                <w:rFonts w:hint="eastAsia" w:ascii="仿宋_GB2312" w:eastAsia="仿宋_GB2312"/>
                <w:kern w:val="0"/>
                <w:sz w:val="24"/>
              </w:rPr>
              <w:t>万元地区生产总值二氧化碳排放降低率</w:t>
            </w:r>
          </w:p>
        </w:tc>
        <w:tc>
          <w:tcPr>
            <w:tcW w:w="868" w:type="dxa"/>
            <w:tcBorders>
              <w:top w:val="single" w:color="000000" w:sz="4" w:space="0"/>
              <w:left w:val="nil"/>
              <w:bottom w:val="single" w:color="auto" w:sz="4" w:space="0"/>
              <w:right w:val="single" w:color="000000" w:sz="4" w:space="0"/>
            </w:tcBorders>
            <w:noWrap w:val="0"/>
            <w:vAlign w:val="center"/>
          </w:tcPr>
          <w:p w14:paraId="6FDF8FB0">
            <w:pPr>
              <w:spacing w:line="400" w:lineRule="exact"/>
              <w:jc w:val="center"/>
              <w:rPr>
                <w:rFonts w:hint="eastAsia" w:ascii="仿宋_GB2312" w:eastAsia="仿宋_GB2312"/>
                <w:sz w:val="24"/>
              </w:rPr>
            </w:pPr>
            <w:r>
              <w:rPr>
                <w:rFonts w:hint="eastAsia" w:ascii="仿宋_GB2312" w:eastAsia="仿宋_GB2312"/>
                <w:sz w:val="24"/>
              </w:rPr>
              <w:t>%</w:t>
            </w:r>
          </w:p>
        </w:tc>
        <w:tc>
          <w:tcPr>
            <w:tcW w:w="1357" w:type="dxa"/>
            <w:tcBorders>
              <w:top w:val="single" w:color="000000" w:sz="4" w:space="0"/>
              <w:left w:val="nil"/>
              <w:bottom w:val="single" w:color="auto" w:sz="4" w:space="0"/>
              <w:right w:val="single" w:color="000000" w:sz="4" w:space="0"/>
            </w:tcBorders>
            <w:noWrap w:val="0"/>
            <w:vAlign w:val="center"/>
          </w:tcPr>
          <w:p w14:paraId="4AD3E684">
            <w:pPr>
              <w:spacing w:line="400" w:lineRule="exact"/>
              <w:jc w:val="center"/>
              <w:rPr>
                <w:rFonts w:hint="eastAsia" w:ascii="仿宋_GB2312" w:eastAsia="仿宋_GB2312"/>
                <w:sz w:val="24"/>
              </w:rPr>
            </w:pPr>
            <w:r>
              <w:rPr>
                <w:rFonts w:hint="eastAsia" w:ascii="仿宋_GB2312" w:eastAsia="仿宋_GB2312"/>
                <w:sz w:val="24"/>
              </w:rPr>
              <w:t>4</w:t>
            </w:r>
          </w:p>
        </w:tc>
        <w:tc>
          <w:tcPr>
            <w:tcW w:w="1080" w:type="dxa"/>
            <w:tcBorders>
              <w:top w:val="single" w:color="000000" w:sz="4" w:space="0"/>
              <w:left w:val="nil"/>
              <w:bottom w:val="single" w:color="auto" w:sz="4" w:space="0"/>
              <w:right w:val="single" w:color="000000" w:sz="4" w:space="0"/>
            </w:tcBorders>
            <w:noWrap w:val="0"/>
            <w:vAlign w:val="center"/>
          </w:tcPr>
          <w:p w14:paraId="056E7623">
            <w:pPr>
              <w:spacing w:line="400" w:lineRule="exact"/>
              <w:rPr>
                <w:rFonts w:hint="eastAsia" w:ascii="仿宋_GB2312" w:eastAsia="仿宋_GB2312"/>
                <w:sz w:val="24"/>
              </w:rPr>
            </w:pPr>
            <w:r>
              <w:rPr>
                <w:rFonts w:hint="eastAsia" w:ascii="仿宋_GB2312" w:eastAsia="仿宋_GB2312"/>
                <w:sz w:val="24"/>
              </w:rPr>
              <w:t>市下达任务</w:t>
            </w:r>
          </w:p>
        </w:tc>
        <w:tc>
          <w:tcPr>
            <w:tcW w:w="1440" w:type="dxa"/>
            <w:tcBorders>
              <w:top w:val="single" w:color="000000" w:sz="4" w:space="0"/>
              <w:left w:val="nil"/>
              <w:bottom w:val="single" w:color="auto" w:sz="4" w:space="0"/>
              <w:right w:val="single" w:color="000000" w:sz="4" w:space="0"/>
            </w:tcBorders>
            <w:noWrap w:val="0"/>
            <w:vAlign w:val="center"/>
          </w:tcPr>
          <w:p w14:paraId="59A82297">
            <w:pPr>
              <w:spacing w:line="400" w:lineRule="exact"/>
              <w:jc w:val="center"/>
              <w:rPr>
                <w:rFonts w:hint="eastAsia" w:ascii="仿宋_GB2312" w:eastAsia="仿宋_GB2312"/>
                <w:sz w:val="24"/>
              </w:rPr>
            </w:pPr>
            <w:r>
              <w:rPr>
                <w:rFonts w:hint="eastAsia" w:ascii="仿宋_GB2312" w:eastAsia="仿宋_GB2312"/>
                <w:sz w:val="24"/>
              </w:rPr>
              <w:t>—</w:t>
            </w:r>
          </w:p>
        </w:tc>
        <w:tc>
          <w:tcPr>
            <w:tcW w:w="999" w:type="dxa"/>
            <w:tcBorders>
              <w:top w:val="single" w:color="000000" w:sz="4" w:space="0"/>
              <w:left w:val="nil"/>
              <w:bottom w:val="single" w:color="auto" w:sz="4" w:space="0"/>
              <w:right w:val="single" w:color="000000" w:sz="4" w:space="0"/>
            </w:tcBorders>
            <w:noWrap w:val="0"/>
            <w:vAlign w:val="center"/>
          </w:tcPr>
          <w:p w14:paraId="243EC2C1">
            <w:pPr>
              <w:spacing w:line="400" w:lineRule="exact"/>
              <w:jc w:val="center"/>
              <w:rPr>
                <w:rFonts w:hint="eastAsia" w:ascii="仿宋_GB2312" w:eastAsia="仿宋_GB2312"/>
                <w:sz w:val="24"/>
              </w:rPr>
            </w:pPr>
            <w:r>
              <w:rPr>
                <w:rFonts w:hint="eastAsia" w:ascii="仿宋_GB2312" w:eastAsia="仿宋_GB2312"/>
                <w:sz w:val="24"/>
              </w:rPr>
              <w:t>约束性</w:t>
            </w:r>
          </w:p>
        </w:tc>
      </w:tr>
    </w:tbl>
    <w:p w14:paraId="548EC444">
      <w:pPr>
        <w:spacing w:before="156" w:beforeLines="50" w:line="400" w:lineRule="exact"/>
        <w:rPr>
          <w:rFonts w:hint="eastAsia" w:ascii="仿宋_GB2312" w:eastAsia="仿宋_GB2312"/>
          <w:sz w:val="24"/>
        </w:rPr>
      </w:pPr>
      <w:r>
        <w:rPr>
          <w:rFonts w:hint="eastAsia" w:ascii="仿宋_GB2312" w:eastAsia="仿宋_GB2312"/>
          <w:sz w:val="24"/>
        </w:rPr>
        <w:t>注：1、2015年，实际利用外资指标调整为外商直接投资，当年完成0.63亿美元。</w:t>
      </w:r>
    </w:p>
    <w:p w14:paraId="51D49BB7">
      <w:pPr>
        <w:spacing w:line="400" w:lineRule="exact"/>
        <w:ind w:firstLine="480" w:firstLineChars="200"/>
        <w:rPr>
          <w:rFonts w:hint="eastAsia" w:ascii="仿宋_GB2312" w:eastAsia="仿宋_GB2312"/>
          <w:sz w:val="24"/>
        </w:rPr>
      </w:pPr>
      <w:r>
        <w:rPr>
          <w:rFonts w:hint="eastAsia" w:ascii="仿宋_GB2312" w:eastAsia="仿宋_GB2312"/>
          <w:sz w:val="24"/>
        </w:rPr>
        <w:t>2、普惠性幼儿园包括公办幼儿园和普惠性民办幼儿园。</w:t>
      </w:r>
    </w:p>
    <w:p w14:paraId="4CBA790D">
      <w:pPr>
        <w:adjustRightInd w:val="0"/>
        <w:spacing w:after="156" w:afterLines="50"/>
        <w:rPr>
          <w:rFonts w:ascii="黑体" w:hAnsi="黑体" w:eastAsia="黑体"/>
          <w:sz w:val="34"/>
          <w:szCs w:val="34"/>
        </w:rPr>
      </w:pPr>
      <w:r>
        <w:rPr>
          <w:rFonts w:eastAsia="仿宋_GB2312"/>
          <w:sz w:val="20"/>
          <w:szCs w:val="20"/>
        </w:rPr>
        <w:br w:type="page"/>
      </w:r>
      <w:r>
        <w:rPr>
          <w:rFonts w:ascii="黑体" w:hAnsi="黑体" w:eastAsia="黑体"/>
          <w:sz w:val="34"/>
          <w:szCs w:val="34"/>
        </w:rPr>
        <w:t>附件3:</w:t>
      </w:r>
    </w:p>
    <w:p w14:paraId="34C39BED">
      <w:pPr>
        <w:spacing w:before="156" w:beforeLines="50" w:after="156" w:afterLines="50"/>
        <w:jc w:val="center"/>
        <w:rPr>
          <w:rFonts w:hint="eastAsia" w:ascii="方正小标宋简体" w:eastAsia="方正小标宋简体"/>
          <w:sz w:val="44"/>
          <w:szCs w:val="44"/>
        </w:rPr>
      </w:pPr>
      <w:r>
        <w:rPr>
          <w:rFonts w:hint="eastAsia" w:ascii="方正小标宋简体" w:eastAsia="方正小标宋简体"/>
          <w:sz w:val="44"/>
          <w:szCs w:val="44"/>
        </w:rPr>
        <w:t>名 词 解 释</w:t>
      </w:r>
    </w:p>
    <w:p w14:paraId="1FFC9F92">
      <w:pPr>
        <w:ind w:firstLine="680" w:firstLineChars="200"/>
        <w:rPr>
          <w:rFonts w:hint="eastAsia" w:ascii="仿宋_GB2312" w:eastAsia="仿宋_GB2312"/>
          <w:sz w:val="34"/>
          <w:szCs w:val="34"/>
        </w:rPr>
      </w:pPr>
      <w:r>
        <w:rPr>
          <w:rFonts w:hint="eastAsia" w:ascii="仿宋_GB2312" w:eastAsia="仿宋_GB2312"/>
          <w:sz w:val="34"/>
          <w:szCs w:val="34"/>
        </w:rPr>
        <w:t>1.</w:t>
      </w:r>
      <w:r>
        <w:rPr>
          <w:rFonts w:hint="eastAsia" w:ascii="仿宋_GB2312" w:eastAsia="仿宋_GB2312"/>
          <w:b/>
          <w:sz w:val="34"/>
          <w:szCs w:val="34"/>
        </w:rPr>
        <w:t>两先区：</w:t>
      </w:r>
      <w:r>
        <w:rPr>
          <w:rFonts w:hint="eastAsia" w:ascii="仿宋_GB2312" w:eastAsia="仿宋_GB2312"/>
          <w:sz w:val="34"/>
          <w:szCs w:val="34"/>
        </w:rPr>
        <w:t>2013年8月，习近平总书记视察辽宁及大连时，要求突出大连东北亚国际航运中心、国际物流中心、区域性金融中心的带动作用，进一步建成产业结构优化的先导区和经济社会发展的先行区。</w:t>
      </w:r>
    </w:p>
    <w:p w14:paraId="3D997DCB">
      <w:pPr>
        <w:ind w:firstLine="680" w:firstLineChars="200"/>
        <w:rPr>
          <w:rFonts w:hint="eastAsia" w:ascii="仿宋_GB2312" w:eastAsia="仿宋_GB2312"/>
          <w:sz w:val="34"/>
          <w:szCs w:val="34"/>
        </w:rPr>
      </w:pPr>
      <w:r>
        <w:rPr>
          <w:rFonts w:hint="eastAsia" w:ascii="仿宋_GB2312" w:eastAsia="仿宋_GB2312"/>
          <w:sz w:val="34"/>
          <w:szCs w:val="34"/>
        </w:rPr>
        <w:t>2.</w:t>
      </w:r>
      <w:r>
        <w:rPr>
          <w:rFonts w:hint="eastAsia" w:ascii="仿宋_GB2312" w:eastAsia="仿宋_GB2312"/>
          <w:b/>
          <w:sz w:val="34"/>
          <w:szCs w:val="34"/>
        </w:rPr>
        <w:t>四个中心、一个聚集区：</w:t>
      </w:r>
      <w:r>
        <w:rPr>
          <w:rFonts w:hint="eastAsia" w:ascii="仿宋_GB2312" w:eastAsia="仿宋_GB2312"/>
          <w:sz w:val="34"/>
          <w:szCs w:val="34"/>
        </w:rPr>
        <w:t>“十三五”期间，大连市提出初步建成东北亚国际航运中心、国际物流中心、国际贸易中心、区域性金融中心和现代产业聚集区。</w:t>
      </w:r>
    </w:p>
    <w:p w14:paraId="5ACE8D6D">
      <w:pPr>
        <w:ind w:firstLine="680" w:firstLineChars="200"/>
        <w:rPr>
          <w:rFonts w:hint="eastAsia" w:ascii="仿宋_GB2312" w:eastAsia="仿宋_GB2312"/>
          <w:b/>
          <w:sz w:val="34"/>
          <w:szCs w:val="34"/>
        </w:rPr>
      </w:pPr>
      <w:r>
        <w:rPr>
          <w:rFonts w:hint="eastAsia" w:ascii="仿宋_GB2312" w:eastAsia="仿宋_GB2312"/>
          <w:sz w:val="34"/>
          <w:szCs w:val="34"/>
        </w:rPr>
        <w:t>3.</w:t>
      </w:r>
      <w:r>
        <w:rPr>
          <w:rFonts w:hint="eastAsia" w:ascii="仿宋_GB2312" w:eastAsia="仿宋_GB2312"/>
          <w:b/>
          <w:sz w:val="34"/>
          <w:szCs w:val="34"/>
        </w:rPr>
        <w:t>供给侧改革：</w:t>
      </w:r>
      <w:r>
        <w:rPr>
          <w:rFonts w:hint="eastAsia" w:ascii="仿宋_GB2312" w:eastAsia="仿宋_GB2312"/>
          <w:sz w:val="34"/>
          <w:szCs w:val="34"/>
        </w:rPr>
        <w:t>2015年11月10日，习近平总书记在中央财经领导小组第十一次会议上强调，“在适度扩大总需求的同时，着力加强供给侧结构性改革，着力提高供给体系质量和效率”。供给侧改革是党中央、国务院适应我国经济发展新常态与国际经济新形势作出的重大创新和主动选择，是指从供给侧入手，针对结构性问题而推进的改革，增加有效供给，实现由低水平供需平衡向高水平供需平衡的跃升。</w:t>
      </w:r>
    </w:p>
    <w:p w14:paraId="2C6BA5A1">
      <w:pPr>
        <w:ind w:firstLine="680" w:firstLineChars="200"/>
        <w:rPr>
          <w:rFonts w:hint="eastAsia" w:ascii="仿宋_GB2312" w:eastAsia="仿宋_GB2312"/>
          <w:sz w:val="34"/>
          <w:szCs w:val="34"/>
        </w:rPr>
      </w:pPr>
      <w:r>
        <w:rPr>
          <w:rFonts w:hint="eastAsia" w:ascii="仿宋_GB2312" w:eastAsia="仿宋_GB2312"/>
          <w:sz w:val="34"/>
          <w:szCs w:val="34"/>
        </w:rPr>
        <w:t>4.</w:t>
      </w:r>
      <w:r>
        <w:rPr>
          <w:rFonts w:hint="eastAsia" w:ascii="仿宋_GB2312" w:eastAsia="仿宋_GB2312"/>
          <w:b/>
          <w:sz w:val="34"/>
          <w:szCs w:val="34"/>
        </w:rPr>
        <w:t>“双十”工程：</w:t>
      </w:r>
      <w:r>
        <w:rPr>
          <w:rFonts w:hint="eastAsia" w:ascii="仿宋_GB2312" w:eastAsia="仿宋_GB2312"/>
          <w:sz w:val="34"/>
          <w:szCs w:val="34"/>
        </w:rPr>
        <w:t>“十三五”期间，西岗区提出涉及现代商贸、商务服务、现代物流和休闲旅游等多个产业的十大经济工程，以及涵盖教育、养老、城建、社区服务、公共卫生等多个领域的十大民生工程，以此作为现代化品质城区建设的重要抓手。十大经济工程投资体量大，关联度高，辐射力强，有效促进城区产业升级和功能提升；十大民生工程着眼群众关切，有力推动发展成果惠及百姓。</w:t>
      </w:r>
    </w:p>
    <w:p w14:paraId="28813ED2">
      <w:pPr>
        <w:ind w:firstLine="680" w:firstLineChars="200"/>
        <w:rPr>
          <w:rFonts w:hint="eastAsia" w:ascii="仿宋_GB2312" w:eastAsia="仿宋_GB2312"/>
          <w:sz w:val="34"/>
          <w:szCs w:val="34"/>
        </w:rPr>
      </w:pPr>
      <w:r>
        <w:rPr>
          <w:rFonts w:hint="eastAsia" w:ascii="仿宋_GB2312" w:eastAsia="仿宋_GB2312"/>
          <w:sz w:val="34"/>
          <w:szCs w:val="34"/>
        </w:rPr>
        <w:t>5.</w:t>
      </w:r>
      <w:r>
        <w:rPr>
          <w:rFonts w:hint="eastAsia" w:ascii="仿宋_GB2312" w:eastAsia="仿宋_GB2312"/>
          <w:b/>
          <w:sz w:val="34"/>
          <w:szCs w:val="34"/>
        </w:rPr>
        <w:t>结构型经济：</w:t>
      </w:r>
      <w:r>
        <w:rPr>
          <w:rFonts w:hint="eastAsia" w:ascii="仿宋_GB2312" w:eastAsia="仿宋_GB2312"/>
          <w:sz w:val="34"/>
          <w:szCs w:val="34"/>
        </w:rPr>
        <w:t>把</w:t>
      </w:r>
      <w:r>
        <w:rPr>
          <w:rFonts w:hint="eastAsia" w:ascii="仿宋_GB2312" w:eastAsia="仿宋_GB2312"/>
          <w:sz w:val="34"/>
          <w:szCs w:val="34"/>
        </w:rPr>
        <w:fldChar w:fldCharType="begin"/>
      </w:r>
      <w:r>
        <w:rPr>
          <w:rFonts w:hint="eastAsia" w:ascii="仿宋_GB2312" w:eastAsia="仿宋_GB2312"/>
          <w:sz w:val="34"/>
          <w:szCs w:val="34"/>
        </w:rPr>
        <w:instrText xml:space="preserve"> HYPERLINK "http://baike.baidu.com/view/20838.htm" \t "_blank" </w:instrText>
      </w:r>
      <w:r>
        <w:rPr>
          <w:rFonts w:hint="eastAsia" w:ascii="仿宋_GB2312" w:eastAsia="仿宋_GB2312"/>
          <w:sz w:val="34"/>
          <w:szCs w:val="34"/>
        </w:rPr>
        <w:fldChar w:fldCharType="separate"/>
      </w:r>
      <w:r>
        <w:rPr>
          <w:rFonts w:hint="eastAsia" w:ascii="仿宋_GB2312" w:eastAsia="仿宋_GB2312"/>
          <w:sz w:val="34"/>
          <w:szCs w:val="34"/>
        </w:rPr>
        <w:t>经济</w:t>
      </w:r>
      <w:r>
        <w:rPr>
          <w:rFonts w:hint="eastAsia" w:ascii="仿宋_GB2312" w:eastAsia="仿宋_GB2312"/>
          <w:sz w:val="34"/>
          <w:szCs w:val="34"/>
        </w:rPr>
        <w:fldChar w:fldCharType="end"/>
      </w:r>
      <w:r>
        <w:rPr>
          <w:rFonts w:hint="eastAsia" w:ascii="仿宋_GB2312" w:eastAsia="仿宋_GB2312"/>
          <w:sz w:val="34"/>
          <w:szCs w:val="34"/>
        </w:rPr>
        <w:t>要素、结构、功能、质、量、序等各个方面统一起来。发展不仅单纯依赖生产要素的存在，更依赖</w:t>
      </w:r>
      <w:r>
        <w:rPr>
          <w:rFonts w:hint="eastAsia" w:ascii="仿宋_GB2312" w:eastAsia="仿宋_GB2312"/>
          <w:sz w:val="34"/>
          <w:szCs w:val="34"/>
        </w:rPr>
        <w:fldChar w:fldCharType="begin"/>
      </w:r>
      <w:r>
        <w:rPr>
          <w:rFonts w:hint="eastAsia" w:ascii="仿宋_GB2312" w:eastAsia="仿宋_GB2312"/>
          <w:sz w:val="34"/>
          <w:szCs w:val="34"/>
        </w:rPr>
        <w:instrText xml:space="preserve"> HYPERLINK "http://baike.baidu.com/view/262850.htm" \t "_blank" </w:instrText>
      </w:r>
      <w:r>
        <w:rPr>
          <w:rFonts w:hint="eastAsia" w:ascii="仿宋_GB2312" w:eastAsia="仿宋_GB2312"/>
          <w:sz w:val="34"/>
          <w:szCs w:val="34"/>
        </w:rPr>
        <w:fldChar w:fldCharType="separate"/>
      </w:r>
      <w:r>
        <w:rPr>
          <w:rFonts w:hint="eastAsia" w:ascii="仿宋_GB2312" w:eastAsia="仿宋_GB2312"/>
          <w:sz w:val="34"/>
          <w:szCs w:val="34"/>
        </w:rPr>
        <w:t>生产要素</w:t>
      </w:r>
      <w:r>
        <w:rPr>
          <w:rFonts w:hint="eastAsia" w:ascii="仿宋_GB2312" w:eastAsia="仿宋_GB2312"/>
          <w:sz w:val="34"/>
          <w:szCs w:val="34"/>
        </w:rPr>
        <w:fldChar w:fldCharType="end"/>
      </w:r>
      <w:r>
        <w:rPr>
          <w:rFonts w:hint="eastAsia" w:ascii="仿宋_GB2312" w:eastAsia="仿宋_GB2312"/>
          <w:sz w:val="34"/>
          <w:szCs w:val="34"/>
        </w:rPr>
        <w:t>的排列组合，</w:t>
      </w:r>
      <w:r>
        <w:rPr>
          <w:rFonts w:hint="eastAsia" w:ascii="仿宋_GB2312" w:eastAsia="仿宋_GB2312"/>
          <w:sz w:val="34"/>
          <w:szCs w:val="34"/>
        </w:rPr>
        <w:fldChar w:fldCharType="begin"/>
      </w:r>
      <w:r>
        <w:rPr>
          <w:rFonts w:hint="eastAsia" w:ascii="仿宋_GB2312" w:eastAsia="仿宋_GB2312"/>
          <w:sz w:val="34"/>
          <w:szCs w:val="34"/>
        </w:rPr>
        <w:instrText xml:space="preserve"> HYPERLINK "http://baike.baidu.com/view/20838.htm" \t "_blank" </w:instrText>
      </w:r>
      <w:r>
        <w:rPr>
          <w:rFonts w:hint="eastAsia" w:ascii="仿宋_GB2312" w:eastAsia="仿宋_GB2312"/>
          <w:sz w:val="34"/>
          <w:szCs w:val="34"/>
        </w:rPr>
        <w:fldChar w:fldCharType="separate"/>
      </w:r>
      <w:r>
        <w:rPr>
          <w:rFonts w:hint="eastAsia" w:ascii="仿宋_GB2312" w:eastAsia="仿宋_GB2312"/>
          <w:sz w:val="34"/>
          <w:szCs w:val="34"/>
        </w:rPr>
        <w:t>经济</w:t>
      </w:r>
      <w:r>
        <w:rPr>
          <w:rFonts w:hint="eastAsia" w:ascii="仿宋_GB2312" w:eastAsia="仿宋_GB2312"/>
          <w:sz w:val="34"/>
          <w:szCs w:val="34"/>
        </w:rPr>
        <w:fldChar w:fldCharType="end"/>
      </w:r>
      <w:r>
        <w:rPr>
          <w:rFonts w:hint="eastAsia" w:ascii="仿宋_GB2312" w:eastAsia="仿宋_GB2312"/>
          <w:sz w:val="34"/>
          <w:szCs w:val="34"/>
        </w:rPr>
        <w:t>系统结构也能产生</w:t>
      </w:r>
      <w:r>
        <w:rPr>
          <w:rFonts w:hint="eastAsia" w:ascii="仿宋_GB2312" w:eastAsia="仿宋_GB2312"/>
          <w:sz w:val="34"/>
          <w:szCs w:val="34"/>
        </w:rPr>
        <w:fldChar w:fldCharType="begin"/>
      </w:r>
      <w:r>
        <w:rPr>
          <w:rFonts w:hint="eastAsia" w:ascii="仿宋_GB2312" w:eastAsia="仿宋_GB2312"/>
          <w:sz w:val="34"/>
          <w:szCs w:val="34"/>
        </w:rPr>
        <w:instrText xml:space="preserve"> HYPERLINK "http://baike.baidu.com/view/4844.htm" \t "_blank" </w:instrText>
      </w:r>
      <w:r>
        <w:rPr>
          <w:rFonts w:hint="eastAsia" w:ascii="仿宋_GB2312" w:eastAsia="仿宋_GB2312"/>
          <w:sz w:val="34"/>
          <w:szCs w:val="34"/>
        </w:rPr>
        <w:fldChar w:fldCharType="separate"/>
      </w:r>
      <w:r>
        <w:rPr>
          <w:rFonts w:hint="eastAsia" w:ascii="仿宋_GB2312" w:eastAsia="仿宋_GB2312"/>
          <w:sz w:val="34"/>
          <w:szCs w:val="34"/>
        </w:rPr>
        <w:t>生产力</w:t>
      </w:r>
      <w:r>
        <w:rPr>
          <w:rFonts w:hint="eastAsia" w:ascii="仿宋_GB2312" w:eastAsia="仿宋_GB2312"/>
          <w:sz w:val="34"/>
          <w:szCs w:val="34"/>
        </w:rPr>
        <w:fldChar w:fldCharType="end"/>
      </w:r>
      <w:r>
        <w:rPr>
          <w:rFonts w:hint="eastAsia" w:ascii="仿宋_GB2312" w:eastAsia="仿宋_GB2312"/>
          <w:sz w:val="34"/>
          <w:szCs w:val="34"/>
        </w:rPr>
        <w:t>，而且能产生更重要的</w:t>
      </w:r>
      <w:r>
        <w:rPr>
          <w:rFonts w:hint="eastAsia" w:ascii="仿宋_GB2312" w:eastAsia="仿宋_GB2312"/>
          <w:sz w:val="34"/>
          <w:szCs w:val="34"/>
        </w:rPr>
        <w:fldChar w:fldCharType="begin"/>
      </w:r>
      <w:r>
        <w:rPr>
          <w:rFonts w:hint="eastAsia" w:ascii="仿宋_GB2312" w:eastAsia="仿宋_GB2312"/>
          <w:sz w:val="34"/>
          <w:szCs w:val="34"/>
        </w:rPr>
        <w:instrText xml:space="preserve"> HYPERLINK "http://baike.baidu.com/view/4844.htm" \t "_blank" </w:instrText>
      </w:r>
      <w:r>
        <w:rPr>
          <w:rFonts w:hint="eastAsia" w:ascii="仿宋_GB2312" w:eastAsia="仿宋_GB2312"/>
          <w:sz w:val="34"/>
          <w:szCs w:val="34"/>
        </w:rPr>
        <w:fldChar w:fldCharType="separate"/>
      </w:r>
      <w:r>
        <w:rPr>
          <w:rFonts w:hint="eastAsia" w:ascii="仿宋_GB2312" w:eastAsia="仿宋_GB2312"/>
          <w:sz w:val="34"/>
          <w:szCs w:val="34"/>
        </w:rPr>
        <w:t>生产力</w:t>
      </w:r>
      <w:r>
        <w:rPr>
          <w:rFonts w:hint="eastAsia" w:ascii="仿宋_GB2312" w:eastAsia="仿宋_GB2312"/>
          <w:sz w:val="34"/>
          <w:szCs w:val="34"/>
        </w:rPr>
        <w:fldChar w:fldCharType="end"/>
      </w:r>
      <w:r>
        <w:rPr>
          <w:rFonts w:hint="eastAsia" w:ascii="仿宋_GB2312" w:eastAsia="仿宋_GB2312"/>
          <w:sz w:val="34"/>
          <w:szCs w:val="34"/>
        </w:rPr>
        <w:t>。</w:t>
      </w:r>
    </w:p>
    <w:p w14:paraId="1DF4D94C">
      <w:pPr>
        <w:ind w:firstLine="680" w:firstLineChars="200"/>
        <w:rPr>
          <w:rFonts w:hint="eastAsia" w:ascii="仿宋_GB2312" w:eastAsia="仿宋_GB2312"/>
          <w:sz w:val="34"/>
          <w:szCs w:val="34"/>
        </w:rPr>
      </w:pPr>
      <w:r>
        <w:rPr>
          <w:rFonts w:hint="eastAsia" w:ascii="仿宋_GB2312" w:eastAsia="仿宋_GB2312"/>
          <w:sz w:val="34"/>
          <w:szCs w:val="34"/>
        </w:rPr>
        <w:t>6.</w:t>
      </w:r>
      <w:r>
        <w:rPr>
          <w:rFonts w:hint="eastAsia" w:ascii="仿宋_GB2312" w:eastAsia="仿宋_GB2312"/>
          <w:b/>
          <w:sz w:val="34"/>
          <w:szCs w:val="34"/>
        </w:rPr>
        <w:t>功能型经济：</w:t>
      </w:r>
      <w:r>
        <w:rPr>
          <w:rFonts w:hint="eastAsia" w:ascii="仿宋_GB2312" w:eastAsia="仿宋_GB2312"/>
          <w:sz w:val="34"/>
          <w:szCs w:val="34"/>
        </w:rPr>
        <w:t>不单纯以产生直接效益为主要目的、以配套功能服务于更大范围甚至全局的经济发展模式，是经济一体化格局下局部区域的必然选择。</w:t>
      </w:r>
    </w:p>
    <w:p w14:paraId="487B2728">
      <w:pPr>
        <w:ind w:firstLine="680" w:firstLineChars="200"/>
        <w:rPr>
          <w:rFonts w:hint="eastAsia" w:ascii="仿宋_GB2312" w:eastAsia="仿宋_GB2312"/>
          <w:sz w:val="34"/>
          <w:szCs w:val="34"/>
        </w:rPr>
      </w:pPr>
      <w:r>
        <w:rPr>
          <w:rFonts w:hint="eastAsia" w:ascii="仿宋_GB2312" w:eastAsia="仿宋_GB2312"/>
          <w:sz w:val="34"/>
          <w:szCs w:val="34"/>
        </w:rPr>
        <w:t>7.</w:t>
      </w:r>
      <w:r>
        <w:rPr>
          <w:rFonts w:hint="eastAsia" w:ascii="仿宋_GB2312" w:eastAsia="仿宋_GB2312"/>
          <w:b/>
          <w:sz w:val="34"/>
          <w:szCs w:val="34"/>
        </w:rPr>
        <w:t>繁荣型经济：</w:t>
      </w:r>
      <w:r>
        <w:rPr>
          <w:rFonts w:hint="eastAsia" w:ascii="仿宋_GB2312" w:eastAsia="仿宋_GB2312"/>
          <w:sz w:val="34"/>
          <w:szCs w:val="34"/>
        </w:rPr>
        <w:t>以提升区域中某一业态或多种业态繁荣度为主要目标，通过业态集聚、完善、升级和功能辐射，促进该区域经济、社会、文化、环境共同发展的综合发展模式，对提升区域无形价值具有重要意义。</w:t>
      </w:r>
    </w:p>
    <w:p w14:paraId="1F0F5AEC">
      <w:pPr>
        <w:pStyle w:val="14"/>
        <w:widowControl w:val="0"/>
        <w:shd w:val="clear" w:color="auto" w:fill="FFFFFF"/>
        <w:ind w:firstLine="680" w:firstLineChars="200"/>
        <w:jc w:val="both"/>
        <w:rPr>
          <w:rFonts w:hint="eastAsia" w:ascii="仿宋_GB2312" w:hAnsi="Times New Roman" w:eastAsia="仿宋_GB2312" w:cs="Times New Roman"/>
          <w:sz w:val="34"/>
          <w:szCs w:val="34"/>
        </w:rPr>
      </w:pPr>
      <w:r>
        <w:rPr>
          <w:rFonts w:hint="eastAsia" w:ascii="仿宋_GB2312" w:hAnsi="Times New Roman" w:eastAsia="仿宋_GB2312" w:cs="Times New Roman"/>
          <w:sz w:val="34"/>
          <w:szCs w:val="34"/>
        </w:rPr>
        <w:t>8.</w:t>
      </w:r>
      <w:r>
        <w:rPr>
          <w:rFonts w:hint="eastAsia" w:ascii="仿宋_GB2312" w:hAnsi="Times New Roman" w:eastAsia="仿宋_GB2312" w:cs="Times New Roman"/>
          <w:b/>
          <w:sz w:val="34"/>
          <w:szCs w:val="34"/>
        </w:rPr>
        <w:t>智力服务业：</w:t>
      </w:r>
      <w:r>
        <w:rPr>
          <w:rFonts w:hint="eastAsia" w:ascii="仿宋_GB2312" w:hAnsi="Times New Roman" w:eastAsia="仿宋_GB2312" w:cs="Times New Roman"/>
          <w:sz w:val="34"/>
          <w:szCs w:val="34"/>
        </w:rPr>
        <w:t>是以知识、智力、智慧为主导的知识密集型服务业，所提供的服务是智力成果。比较典型的智力服务行业包括信息服务业、中介服务业、咨询服务业、设计服务业、会计服务业等。</w:t>
      </w:r>
    </w:p>
    <w:p w14:paraId="25554456">
      <w:pPr>
        <w:pStyle w:val="14"/>
        <w:widowControl w:val="0"/>
        <w:shd w:val="clear" w:color="auto" w:fill="FFFFFF"/>
        <w:ind w:firstLine="680" w:firstLineChars="200"/>
        <w:jc w:val="both"/>
        <w:rPr>
          <w:rFonts w:hint="eastAsia" w:ascii="仿宋_GB2312" w:hAnsi="Times New Roman" w:eastAsia="仿宋_GB2312" w:cs="Times New Roman"/>
          <w:sz w:val="34"/>
          <w:szCs w:val="34"/>
        </w:rPr>
      </w:pPr>
      <w:r>
        <w:rPr>
          <w:rFonts w:hint="eastAsia" w:ascii="仿宋_GB2312" w:hAnsi="Times New Roman" w:eastAsia="仿宋_GB2312" w:cs="Times New Roman"/>
          <w:sz w:val="34"/>
          <w:szCs w:val="34"/>
        </w:rPr>
        <w:t>9.</w:t>
      </w:r>
      <w:r>
        <w:rPr>
          <w:rFonts w:hint="eastAsia" w:ascii="仿宋_GB2312" w:hAnsi="Times New Roman" w:eastAsia="仿宋_GB2312" w:cs="Times New Roman"/>
          <w:b/>
          <w:sz w:val="34"/>
          <w:szCs w:val="34"/>
        </w:rPr>
        <w:t>分享经济：</w:t>
      </w:r>
      <w:r>
        <w:rPr>
          <w:rFonts w:hint="eastAsia" w:ascii="仿宋_GB2312" w:hAnsi="Times New Roman" w:eastAsia="仿宋_GB2312" w:cs="Times New Roman"/>
          <w:sz w:val="34"/>
          <w:szCs w:val="34"/>
        </w:rPr>
        <w:t>2015年10月，《中共中央关于制定国民经济和社会发展第十三个五年规划的建议》中正式提出“发展分享经济”。分享经济是指能让商品、服务、数据（资源）及（人的）才能等具有共享渠道的经济体系，具体包括</w:t>
      </w:r>
      <w:r>
        <w:rPr>
          <w:rFonts w:hint="eastAsia" w:ascii="仿宋_GB2312" w:hAnsi="Times New Roman" w:eastAsia="仿宋_GB2312" w:cs="Times New Roman"/>
          <w:sz w:val="34"/>
          <w:szCs w:val="34"/>
        </w:rPr>
        <w:fldChar w:fldCharType="begin"/>
      </w:r>
      <w:r>
        <w:rPr>
          <w:rFonts w:hint="eastAsia" w:ascii="仿宋_GB2312" w:hAnsi="Times New Roman" w:eastAsia="仿宋_GB2312" w:cs="Times New Roman"/>
          <w:sz w:val="34"/>
          <w:szCs w:val="34"/>
        </w:rPr>
        <w:instrText xml:space="preserve"> HYPERLINK "http://www.baike.com/sowiki/%E7%A7%9F%E8%B5%81?prd=content_doc_search" \o "租赁" \t "_blank" </w:instrText>
      </w:r>
      <w:r>
        <w:rPr>
          <w:rFonts w:hint="eastAsia" w:ascii="仿宋_GB2312" w:hAnsi="Times New Roman" w:eastAsia="仿宋_GB2312" w:cs="Times New Roman"/>
          <w:sz w:val="34"/>
          <w:szCs w:val="34"/>
        </w:rPr>
        <w:fldChar w:fldCharType="separate"/>
      </w:r>
      <w:r>
        <w:rPr>
          <w:rFonts w:hint="eastAsia" w:ascii="仿宋_GB2312" w:hAnsi="Times New Roman" w:eastAsia="仿宋_GB2312" w:cs="Times New Roman"/>
          <w:sz w:val="34"/>
          <w:szCs w:val="34"/>
        </w:rPr>
        <w:t>租赁</w:t>
      </w:r>
      <w:r>
        <w:rPr>
          <w:rFonts w:hint="eastAsia" w:ascii="仿宋_GB2312" w:hAnsi="Times New Roman" w:eastAsia="仿宋_GB2312" w:cs="Times New Roman"/>
          <w:sz w:val="34"/>
          <w:szCs w:val="34"/>
        </w:rPr>
        <w:fldChar w:fldCharType="end"/>
      </w:r>
      <w:r>
        <w:rPr>
          <w:rFonts w:hint="eastAsia" w:ascii="仿宋_GB2312" w:hAnsi="Times New Roman" w:eastAsia="仿宋_GB2312" w:cs="Times New Roman"/>
          <w:sz w:val="34"/>
          <w:szCs w:val="34"/>
        </w:rPr>
        <w:t>、易物、借贷、赠送、交换以及合作组织等所有权共享形式。</w:t>
      </w:r>
    </w:p>
    <w:p w14:paraId="1A3099EC">
      <w:pPr>
        <w:ind w:firstLine="680" w:firstLineChars="200"/>
        <w:rPr>
          <w:rFonts w:hint="eastAsia" w:ascii="仿宋_GB2312" w:eastAsia="仿宋_GB2312"/>
          <w:sz w:val="34"/>
          <w:szCs w:val="34"/>
        </w:rPr>
      </w:pPr>
      <w:r>
        <w:rPr>
          <w:rFonts w:hint="eastAsia" w:ascii="仿宋_GB2312" w:eastAsia="仿宋_GB2312"/>
          <w:sz w:val="34"/>
          <w:szCs w:val="34"/>
        </w:rPr>
        <w:t>10.</w:t>
      </w:r>
      <w:r>
        <w:rPr>
          <w:rFonts w:hint="eastAsia" w:ascii="仿宋_GB2312" w:eastAsia="仿宋_GB2312"/>
          <w:b/>
          <w:sz w:val="34"/>
          <w:szCs w:val="34"/>
        </w:rPr>
        <w:t>“知校”智慧教育云平台：</w:t>
      </w:r>
      <w:r>
        <w:rPr>
          <w:rFonts w:hint="eastAsia" w:ascii="仿宋_GB2312" w:eastAsia="仿宋_GB2312"/>
          <w:sz w:val="34"/>
          <w:szCs w:val="34"/>
        </w:rPr>
        <w:t>利用云计算、无线通讯、移动互联等技术，建设全终端覆盖的教育管理服务和教育资源共建共享服务平台，实现学生、家长、教师、教育管理机构等教育主体之间互联互通。</w:t>
      </w:r>
    </w:p>
    <w:p w14:paraId="74CB3FDB">
      <w:pPr>
        <w:ind w:firstLine="680" w:firstLineChars="200"/>
        <w:rPr>
          <w:rFonts w:hint="eastAsia" w:ascii="仿宋_GB2312" w:eastAsia="仿宋_GB2312"/>
          <w:sz w:val="34"/>
          <w:szCs w:val="34"/>
        </w:rPr>
      </w:pPr>
      <w:r>
        <w:rPr>
          <w:rFonts w:hint="eastAsia" w:ascii="仿宋_GB2312" w:eastAsia="仿宋_GB2312"/>
          <w:sz w:val="34"/>
          <w:szCs w:val="34"/>
        </w:rPr>
        <w:t>11.</w:t>
      </w:r>
      <w:r>
        <w:rPr>
          <w:rFonts w:hint="eastAsia" w:ascii="仿宋_GB2312" w:eastAsia="仿宋_GB2312"/>
          <w:b/>
          <w:sz w:val="34"/>
          <w:szCs w:val="34"/>
        </w:rPr>
        <w:t>“创业三个一”工程：</w:t>
      </w:r>
      <w:r>
        <w:rPr>
          <w:rFonts w:hint="eastAsia" w:ascii="仿宋_GB2312" w:eastAsia="仿宋_GB2312"/>
          <w:sz w:val="34"/>
          <w:szCs w:val="34"/>
        </w:rPr>
        <w:t>建设一批适用于不同人群的中小企业创业孵化器，搭建一批创业服务平台，培养一批新时代创客，积极开展“创业、创新、创造”活动。</w:t>
      </w:r>
    </w:p>
    <w:p w14:paraId="599359E0">
      <w:pPr>
        <w:ind w:firstLine="680" w:firstLineChars="200"/>
        <w:rPr>
          <w:rFonts w:hint="eastAsia" w:ascii="仿宋_GB2312" w:eastAsia="仿宋_GB2312"/>
          <w:sz w:val="34"/>
          <w:szCs w:val="34"/>
        </w:rPr>
      </w:pPr>
      <w:r>
        <w:rPr>
          <w:rFonts w:hint="eastAsia" w:ascii="仿宋_GB2312" w:eastAsia="仿宋_GB2312"/>
          <w:sz w:val="34"/>
          <w:szCs w:val="34"/>
        </w:rPr>
        <w:t>12.</w:t>
      </w:r>
      <w:r>
        <w:rPr>
          <w:rFonts w:hint="eastAsia" w:ascii="仿宋_GB2312" w:eastAsia="仿宋_GB2312"/>
          <w:b/>
          <w:sz w:val="34"/>
          <w:szCs w:val="34"/>
        </w:rPr>
        <w:t>文化惠民“专属定制”：</w:t>
      </w:r>
      <w:r>
        <w:rPr>
          <w:rFonts w:hint="eastAsia" w:ascii="仿宋_GB2312" w:eastAsia="仿宋_GB2312"/>
          <w:sz w:val="34"/>
          <w:szCs w:val="34"/>
        </w:rPr>
        <w:t>制定文化惠民服务“菜单”，根据居民不同需求，提供“订单式”特色文化服务项目。</w:t>
      </w:r>
    </w:p>
    <w:p w14:paraId="7B983518">
      <w:pPr>
        <w:ind w:firstLine="680" w:firstLineChars="200"/>
        <w:rPr>
          <w:rFonts w:hint="eastAsia" w:ascii="仿宋_GB2312" w:eastAsia="仿宋_GB2312"/>
          <w:b/>
          <w:sz w:val="34"/>
          <w:szCs w:val="34"/>
        </w:rPr>
      </w:pPr>
      <w:r>
        <w:rPr>
          <w:rFonts w:hint="eastAsia" w:ascii="仿宋_GB2312" w:eastAsia="仿宋_GB2312"/>
          <w:sz w:val="34"/>
          <w:szCs w:val="34"/>
        </w:rPr>
        <w:t>13.</w:t>
      </w:r>
      <w:r>
        <w:rPr>
          <w:rFonts w:hint="eastAsia" w:ascii="仿宋_GB2312" w:eastAsia="仿宋_GB2312"/>
          <w:b/>
          <w:sz w:val="34"/>
          <w:szCs w:val="34"/>
        </w:rPr>
        <w:t>竞技体育“星火工程”：</w:t>
      </w:r>
      <w:r>
        <w:rPr>
          <w:rFonts w:hint="eastAsia" w:ascii="仿宋_GB2312" w:eastAsia="仿宋_GB2312"/>
          <w:sz w:val="34"/>
          <w:szCs w:val="34"/>
        </w:rPr>
        <w:t>在西岗区部分中小学校，投入资金和专业师资力量，开展以篮球、排球、乒乓球等为重点的竞技项目训练活动，加强青少年竞技体育后备人才培养工作。</w:t>
      </w:r>
    </w:p>
    <w:p w14:paraId="21851EC4">
      <w:pPr>
        <w:pStyle w:val="14"/>
        <w:widowControl w:val="0"/>
        <w:shd w:val="clear" w:color="auto" w:fill="FFFFFF"/>
        <w:ind w:firstLine="680" w:firstLineChars="200"/>
        <w:jc w:val="both"/>
        <w:rPr>
          <w:rFonts w:hint="eastAsia" w:ascii="仿宋_GB2312" w:hAnsi="Times New Roman" w:eastAsia="仿宋_GB2312" w:cs="Times New Roman"/>
          <w:sz w:val="34"/>
          <w:szCs w:val="34"/>
        </w:rPr>
      </w:pPr>
      <w:r>
        <w:rPr>
          <w:rFonts w:hint="eastAsia" w:ascii="仿宋_GB2312" w:hAnsi="Times New Roman" w:eastAsia="仿宋_GB2312" w:cs="Times New Roman"/>
          <w:sz w:val="34"/>
          <w:szCs w:val="34"/>
        </w:rPr>
        <w:t>14.</w:t>
      </w:r>
      <w:r>
        <w:rPr>
          <w:rFonts w:hint="eastAsia" w:ascii="仿宋_GB2312" w:hAnsi="Times New Roman" w:eastAsia="仿宋_GB2312" w:cs="Times New Roman"/>
          <w:b/>
          <w:sz w:val="34"/>
          <w:szCs w:val="34"/>
        </w:rPr>
        <w:t>项目双轨制：</w:t>
      </w:r>
      <w:r>
        <w:rPr>
          <w:rFonts w:hint="eastAsia" w:ascii="仿宋_GB2312" w:hAnsi="Times New Roman" w:eastAsia="仿宋_GB2312" w:cs="Times New Roman"/>
          <w:sz w:val="34"/>
          <w:szCs w:val="34"/>
        </w:rPr>
        <w:t>以公益项目为载体，以项目申报制和项目申领制两种方式引导社会组织积极参与社会公共事业。</w:t>
      </w:r>
    </w:p>
    <w:p w14:paraId="0D08DD64">
      <w:pPr>
        <w:pStyle w:val="14"/>
        <w:widowControl w:val="0"/>
        <w:shd w:val="clear" w:color="auto" w:fill="FFFFFF"/>
        <w:tabs>
          <w:tab w:val="left" w:pos="6585"/>
        </w:tabs>
        <w:ind w:firstLine="680" w:firstLineChars="200"/>
        <w:jc w:val="both"/>
        <w:rPr>
          <w:rFonts w:hint="eastAsia" w:ascii="仿宋_GB2312" w:hAnsi="Times New Roman" w:eastAsia="仿宋_GB2312" w:cs="Times New Roman"/>
          <w:sz w:val="34"/>
          <w:szCs w:val="34"/>
        </w:rPr>
      </w:pPr>
      <w:r>
        <w:rPr>
          <w:rFonts w:hint="eastAsia" w:ascii="仿宋_GB2312" w:hAnsi="Times New Roman" w:eastAsia="仿宋_GB2312" w:cs="Times New Roman"/>
          <w:sz w:val="34"/>
          <w:szCs w:val="34"/>
        </w:rPr>
        <w:t>15.</w:t>
      </w:r>
      <w:r>
        <w:rPr>
          <w:rFonts w:hint="eastAsia" w:ascii="仿宋_GB2312" w:hAnsi="Times New Roman" w:eastAsia="仿宋_GB2312" w:cs="Times New Roman"/>
          <w:b/>
          <w:sz w:val="34"/>
          <w:szCs w:val="34"/>
        </w:rPr>
        <w:t>“一业多会”模式：</w:t>
      </w:r>
      <w:r>
        <w:rPr>
          <w:rFonts w:hint="eastAsia" w:ascii="仿宋_GB2312" w:hAnsi="Times New Roman" w:eastAsia="仿宋_GB2312" w:cs="Times New Roman"/>
          <w:sz w:val="34"/>
          <w:szCs w:val="34"/>
        </w:rPr>
        <w:t>引入行业协会商会竞争机制，放宽行业协会商会准入条件，允许按国民经济行业分类的小类标准、产业链各个环节、经营方式和服务类型等设立行业协会，形成“一个行业可设立多个行业协会或商会”的模式。</w:t>
      </w:r>
    </w:p>
    <w:p w14:paraId="0B3DC371">
      <w:pPr>
        <w:ind w:firstLine="680" w:firstLineChars="200"/>
        <w:rPr>
          <w:rFonts w:hint="eastAsia" w:ascii="仿宋_GB2312" w:eastAsia="仿宋_GB2312"/>
          <w:b/>
          <w:sz w:val="34"/>
          <w:szCs w:val="34"/>
        </w:rPr>
      </w:pPr>
      <w:r>
        <w:rPr>
          <w:rFonts w:hint="eastAsia" w:ascii="仿宋_GB2312" w:eastAsia="仿宋_GB2312"/>
          <w:sz w:val="34"/>
          <w:szCs w:val="34"/>
        </w:rPr>
        <w:t>16.</w:t>
      </w:r>
      <w:r>
        <w:rPr>
          <w:rFonts w:hint="eastAsia" w:ascii="仿宋_GB2312" w:eastAsia="仿宋_GB2312"/>
          <w:b/>
          <w:sz w:val="34"/>
          <w:szCs w:val="34"/>
        </w:rPr>
        <w:t>体育人口：</w:t>
      </w:r>
      <w:r>
        <w:rPr>
          <w:rFonts w:hint="eastAsia" w:ascii="仿宋_GB2312" w:eastAsia="仿宋_GB2312"/>
          <w:sz w:val="34"/>
          <w:szCs w:val="34"/>
        </w:rPr>
        <w:t>是指经常从事身体锻炼、身体娱乐，接受体育教育、参加运动训练和竞赛，具有统计意义的一种社会群体。我国体育人口的判定标准是每周身体活动频度3次（含3次）以上、每次活动时间30分钟以上、每次活动强度中等程度以上。</w:t>
      </w:r>
    </w:p>
    <w:p w14:paraId="309B51AD">
      <w:pPr>
        <w:ind w:firstLine="680" w:firstLineChars="200"/>
        <w:rPr>
          <w:rFonts w:hint="eastAsia" w:ascii="仿宋_GB2312" w:eastAsia="仿宋_GB2312"/>
          <w:sz w:val="34"/>
          <w:szCs w:val="34"/>
        </w:rPr>
      </w:pPr>
      <w:r>
        <w:rPr>
          <w:rFonts w:hint="eastAsia" w:ascii="仿宋_GB2312" w:eastAsia="仿宋_GB2312"/>
          <w:sz w:val="34"/>
          <w:szCs w:val="34"/>
        </w:rPr>
        <w:t>17.</w:t>
      </w:r>
      <w:r>
        <w:rPr>
          <w:rFonts w:hint="eastAsia" w:ascii="仿宋_GB2312" w:eastAsia="仿宋_GB2312"/>
          <w:b/>
          <w:sz w:val="34"/>
          <w:szCs w:val="34"/>
        </w:rPr>
        <w:t>医养融合：</w:t>
      </w:r>
      <w:r>
        <w:rPr>
          <w:rFonts w:hint="eastAsia" w:ascii="仿宋_GB2312" w:eastAsia="仿宋_GB2312"/>
          <w:sz w:val="34"/>
          <w:szCs w:val="34"/>
        </w:rPr>
        <w:t>2013年9月，国务院《关于加快发展养老服务业的若干意见》明确提出积极推进医疗卫生与养老服务相结合，探索医疗机构与养老机构合作新模式。</w:t>
      </w:r>
    </w:p>
    <w:p w14:paraId="572510C2">
      <w:pPr>
        <w:pStyle w:val="14"/>
        <w:widowControl w:val="0"/>
        <w:shd w:val="clear" w:color="auto" w:fill="FFFFFF"/>
        <w:ind w:firstLine="680" w:firstLineChars="200"/>
        <w:jc w:val="both"/>
        <w:rPr>
          <w:rFonts w:hint="eastAsia" w:ascii="仿宋_GB2312" w:hAnsi="Times New Roman" w:eastAsia="仿宋_GB2312" w:cs="Times New Roman"/>
          <w:sz w:val="34"/>
          <w:szCs w:val="34"/>
        </w:rPr>
      </w:pPr>
      <w:r>
        <w:rPr>
          <w:rFonts w:hint="eastAsia" w:ascii="仿宋_GB2312" w:hAnsi="Times New Roman" w:eastAsia="仿宋_GB2312" w:cs="Times New Roman"/>
          <w:sz w:val="34"/>
          <w:szCs w:val="34"/>
        </w:rPr>
        <w:t>18.</w:t>
      </w:r>
      <w:r>
        <w:rPr>
          <w:rFonts w:hint="eastAsia" w:ascii="仿宋_GB2312" w:hAnsi="Times New Roman" w:eastAsia="仿宋_GB2312" w:cs="Times New Roman"/>
          <w:b/>
          <w:sz w:val="34"/>
          <w:szCs w:val="34"/>
        </w:rPr>
        <w:t>“5+22”人才新政：</w:t>
      </w:r>
      <w:r>
        <w:rPr>
          <w:rFonts w:hint="eastAsia" w:ascii="仿宋_GB2312" w:hAnsi="Times New Roman" w:eastAsia="仿宋_GB2312" w:cs="Times New Roman"/>
          <w:sz w:val="34"/>
          <w:szCs w:val="34"/>
        </w:rPr>
        <w:t>为进一步优化人才发展环境，2015年3月，大连市印发《大连市支持高层次人才创新创业若干规定》、《大连市加强高技能人才队伍建设若干规定》、《大连市加强创业孵化平台建设进一步促进创业型人才在连创业办法》、《大连市解决引进人才住房办法》和《大连市人才服务管理办法》等五个人才政策创新文件，并配套发布了22项相关实施细则。</w:t>
      </w:r>
    </w:p>
    <w:p w14:paraId="741F0064">
      <w:pPr>
        <w:adjustRightInd w:val="0"/>
        <w:spacing w:after="156" w:afterLines="50"/>
        <w:rPr>
          <w:rFonts w:hint="eastAsia" w:eastAsia="仿宋_GB2312"/>
          <w:sz w:val="32"/>
          <w:szCs w:val="32"/>
        </w:rPr>
      </w:pPr>
    </w:p>
    <w:p w14:paraId="65EBDF2F">
      <w:pPr>
        <w:adjustRightInd w:val="0"/>
        <w:spacing w:after="156" w:afterLines="50"/>
        <w:rPr>
          <w:rFonts w:hint="eastAsia" w:eastAsia="仿宋_GB2312"/>
          <w:sz w:val="32"/>
          <w:szCs w:val="32"/>
        </w:rPr>
      </w:pPr>
    </w:p>
    <w:p w14:paraId="615C5B4B">
      <w:pPr>
        <w:adjustRightInd w:val="0"/>
        <w:snapToGrid w:val="0"/>
        <w:spacing w:line="580" w:lineRule="exact"/>
        <w:jc w:val="left"/>
        <w:rPr>
          <w:rFonts w:hint="eastAsia" w:ascii="黑体" w:hAnsi="黑体" w:eastAsia="黑体"/>
          <w:sz w:val="34"/>
          <w:szCs w:val="34"/>
        </w:rPr>
      </w:pPr>
      <w:r>
        <w:rPr>
          <w:rFonts w:ascii="黑体" w:hAnsi="黑体" w:eastAsia="黑体"/>
          <w:sz w:val="34"/>
          <w:szCs w:val="34"/>
        </w:rPr>
        <w:t>附件</w:t>
      </w:r>
      <w:r>
        <w:rPr>
          <w:rFonts w:hint="eastAsia" w:ascii="黑体" w:hAnsi="黑体" w:eastAsia="黑体"/>
          <w:sz w:val="34"/>
          <w:szCs w:val="34"/>
        </w:rPr>
        <w:t>4</w:t>
      </w:r>
      <w:r>
        <w:rPr>
          <w:rFonts w:ascii="黑体" w:hAnsi="黑体" w:eastAsia="黑体"/>
          <w:sz w:val="34"/>
          <w:szCs w:val="34"/>
        </w:rPr>
        <w:t>:</w:t>
      </w:r>
    </w:p>
    <w:p w14:paraId="2ED9CA40">
      <w:pPr>
        <w:adjustRightInd w:val="0"/>
        <w:snapToGrid w:val="0"/>
        <w:spacing w:line="580" w:lineRule="exact"/>
        <w:jc w:val="left"/>
        <w:rPr>
          <w:rFonts w:hint="eastAsia" w:ascii="黑体" w:eastAsia="黑体"/>
          <w:sz w:val="44"/>
          <w:szCs w:val="44"/>
        </w:rPr>
      </w:pPr>
    </w:p>
    <w:p w14:paraId="449146FC">
      <w:pPr>
        <w:adjustRightInd w:val="0"/>
        <w:snapToGrid w:val="0"/>
        <w:spacing w:line="580" w:lineRule="exact"/>
        <w:jc w:val="center"/>
        <w:rPr>
          <w:rFonts w:hint="eastAsia" w:ascii="方正小标宋简体" w:eastAsia="方正小标宋简体"/>
          <w:sz w:val="44"/>
          <w:szCs w:val="44"/>
        </w:rPr>
      </w:pPr>
      <w:r>
        <w:rPr>
          <w:rFonts w:hint="eastAsia" w:ascii="方正小标宋简体" w:eastAsia="方正小标宋简体"/>
          <w:sz w:val="44"/>
          <w:szCs w:val="44"/>
        </w:rPr>
        <w:t>关于制定《大连市西岗区国民经济和社会发展第十三个五年规划纲要（草案）》的说明</w:t>
      </w:r>
    </w:p>
    <w:p w14:paraId="63295F18">
      <w:pPr>
        <w:adjustRightInd w:val="0"/>
        <w:snapToGrid w:val="0"/>
        <w:spacing w:line="580" w:lineRule="exact"/>
        <w:jc w:val="center"/>
        <w:rPr>
          <w:rFonts w:ascii="黑体" w:eastAsia="黑体"/>
          <w:sz w:val="44"/>
          <w:szCs w:val="44"/>
        </w:rPr>
      </w:pPr>
    </w:p>
    <w:p w14:paraId="117FB364">
      <w:pPr>
        <w:adjustRightInd w:val="0"/>
        <w:snapToGrid w:val="0"/>
        <w:spacing w:line="580" w:lineRule="exact"/>
        <w:jc w:val="center"/>
        <w:outlineLvl w:val="0"/>
        <w:rPr>
          <w:rFonts w:eastAsia="楷体"/>
          <w:spacing w:val="-18"/>
          <w:sz w:val="32"/>
          <w:szCs w:val="32"/>
        </w:rPr>
      </w:pPr>
      <w:r>
        <w:rPr>
          <w:rFonts w:ascii="楷体" w:hAnsi="楷体" w:eastAsia="楷体"/>
          <w:sz w:val="32"/>
          <w:szCs w:val="32"/>
        </w:rPr>
        <w:t>—</w:t>
      </w:r>
      <w:r>
        <w:rPr>
          <w:rFonts w:eastAsia="楷体"/>
          <w:spacing w:val="-18"/>
          <w:sz w:val="32"/>
          <w:szCs w:val="32"/>
        </w:rPr>
        <w:t>2016</w:t>
      </w:r>
      <w:r>
        <w:rPr>
          <w:rFonts w:hAnsi="楷体" w:eastAsia="楷体"/>
          <w:spacing w:val="-18"/>
          <w:sz w:val="32"/>
          <w:szCs w:val="32"/>
        </w:rPr>
        <w:t>年</w:t>
      </w:r>
      <w:r>
        <w:rPr>
          <w:rFonts w:eastAsia="楷体"/>
          <w:spacing w:val="-18"/>
          <w:sz w:val="32"/>
          <w:szCs w:val="32"/>
        </w:rPr>
        <w:t>1</w:t>
      </w:r>
      <w:r>
        <w:rPr>
          <w:rFonts w:hAnsi="楷体" w:eastAsia="楷体"/>
          <w:spacing w:val="-18"/>
          <w:sz w:val="32"/>
          <w:szCs w:val="32"/>
        </w:rPr>
        <w:t>月</w:t>
      </w:r>
      <w:r>
        <w:rPr>
          <w:rFonts w:eastAsia="楷体"/>
          <w:spacing w:val="-18"/>
          <w:sz w:val="32"/>
          <w:szCs w:val="32"/>
        </w:rPr>
        <w:t>6</w:t>
      </w:r>
      <w:r>
        <w:rPr>
          <w:rFonts w:hAnsi="楷体" w:eastAsia="楷体"/>
          <w:spacing w:val="-18"/>
          <w:sz w:val="32"/>
          <w:szCs w:val="32"/>
        </w:rPr>
        <w:t>日大连市西岗区第十七届人民代表大会第四次会议</w:t>
      </w:r>
    </w:p>
    <w:p w14:paraId="3DAE1322">
      <w:pPr>
        <w:adjustRightInd w:val="0"/>
        <w:snapToGrid w:val="0"/>
        <w:spacing w:line="580" w:lineRule="exact"/>
        <w:jc w:val="center"/>
        <w:outlineLvl w:val="0"/>
        <w:rPr>
          <w:rFonts w:eastAsia="楷体"/>
          <w:sz w:val="32"/>
          <w:szCs w:val="32"/>
        </w:rPr>
      </w:pPr>
      <w:r>
        <w:rPr>
          <w:rFonts w:hAnsi="楷体" w:eastAsia="楷体"/>
          <w:sz w:val="32"/>
          <w:szCs w:val="32"/>
        </w:rPr>
        <w:t>大连市西岗区人民政府区长</w:t>
      </w:r>
      <w:r>
        <w:rPr>
          <w:rFonts w:eastAsia="楷体"/>
          <w:sz w:val="32"/>
          <w:szCs w:val="32"/>
        </w:rPr>
        <w:t xml:space="preserve">  </w:t>
      </w:r>
      <w:r>
        <w:rPr>
          <w:rFonts w:hAnsi="楷体" w:eastAsia="楷体"/>
          <w:sz w:val="32"/>
          <w:szCs w:val="32"/>
        </w:rPr>
        <w:t>阎利军</w:t>
      </w:r>
    </w:p>
    <w:p w14:paraId="2FD9AFDE">
      <w:pPr>
        <w:adjustRightInd w:val="0"/>
        <w:snapToGrid w:val="0"/>
        <w:spacing w:line="580" w:lineRule="exact"/>
        <w:jc w:val="center"/>
        <w:rPr>
          <w:rFonts w:eastAsia="黑体"/>
          <w:b/>
          <w:sz w:val="18"/>
          <w:szCs w:val="18"/>
        </w:rPr>
      </w:pPr>
    </w:p>
    <w:p w14:paraId="5C4ECE90">
      <w:pPr>
        <w:adjustRightInd w:val="0"/>
        <w:snapToGrid w:val="0"/>
        <w:spacing w:line="580" w:lineRule="exact"/>
        <w:rPr>
          <w:rFonts w:eastAsia="仿宋_GB2312"/>
          <w:sz w:val="34"/>
          <w:szCs w:val="34"/>
        </w:rPr>
      </w:pPr>
      <w:r>
        <w:rPr>
          <w:rFonts w:eastAsia="仿宋_GB2312"/>
          <w:sz w:val="34"/>
          <w:szCs w:val="34"/>
        </w:rPr>
        <w:t>各位代表：</w:t>
      </w:r>
    </w:p>
    <w:p w14:paraId="57CF72D8">
      <w:pPr>
        <w:adjustRightInd w:val="0"/>
        <w:ind w:firstLine="680" w:firstLineChars="200"/>
        <w:rPr>
          <w:rFonts w:eastAsia="仿宋_GB2312"/>
          <w:sz w:val="34"/>
          <w:szCs w:val="34"/>
        </w:rPr>
      </w:pPr>
      <w:r>
        <w:rPr>
          <w:rFonts w:eastAsia="仿宋_GB2312"/>
          <w:sz w:val="34"/>
          <w:szCs w:val="34"/>
        </w:rPr>
        <w:t>《大连市西岗区国民经济和社会发展第十三个五年规划纲要（草案）》，已提请大会审议，恳请提出意见，并请政协委员和其他列席人员提出意见和建议。我代表区政府，现就八个方面做简要说明。</w:t>
      </w:r>
    </w:p>
    <w:p w14:paraId="599B7741">
      <w:pPr>
        <w:adjustRightInd w:val="0"/>
        <w:ind w:firstLine="680" w:firstLineChars="200"/>
        <w:outlineLvl w:val="0"/>
        <w:rPr>
          <w:rFonts w:ascii="黑体" w:eastAsia="黑体"/>
          <w:sz w:val="34"/>
          <w:szCs w:val="34"/>
        </w:rPr>
      </w:pPr>
      <w:r>
        <w:rPr>
          <w:rFonts w:eastAsia="黑体"/>
          <w:sz w:val="34"/>
          <w:szCs w:val="34"/>
        </w:rPr>
        <w:t>一、关于《纲要（草案）》编制</w:t>
      </w:r>
      <w:r>
        <w:rPr>
          <w:rFonts w:hint="eastAsia" w:ascii="黑体" w:eastAsia="黑体"/>
          <w:sz w:val="34"/>
          <w:szCs w:val="34"/>
        </w:rPr>
        <w:t>的背景和过程</w:t>
      </w:r>
    </w:p>
    <w:p w14:paraId="4C4612B6">
      <w:pPr>
        <w:adjustRightInd w:val="0"/>
        <w:ind w:firstLine="680" w:firstLineChars="200"/>
        <w:rPr>
          <w:rFonts w:ascii="仿宋_GB2312" w:eastAsia="仿宋_GB2312"/>
          <w:sz w:val="34"/>
          <w:szCs w:val="34"/>
        </w:rPr>
      </w:pPr>
      <w:r>
        <w:rPr>
          <w:rFonts w:hint="eastAsia" w:ascii="仿宋_GB2312" w:eastAsia="仿宋_GB2312"/>
          <w:sz w:val="34"/>
          <w:szCs w:val="34"/>
        </w:rPr>
        <w:t>“十二五”时期，西岗区全面实施“内涵发展、品质提升、创新驱动”发展战略，科学完成确定的主要目标和具体任务，城区经济发展健康平稳，社会事业全面进步，人民生活水平不断提高，科学发展品质城区建设成果丰硕。同时，发展空间有限、经济发展动力不足、主城区同质化竞争和优质公共服务供给不够丰富成为新的挑战，需要在“十三五”时期努力破解。</w:t>
      </w:r>
    </w:p>
    <w:p w14:paraId="2C3608A5">
      <w:pPr>
        <w:adjustRightInd w:val="0"/>
        <w:ind w:firstLine="680" w:firstLineChars="200"/>
        <w:rPr>
          <w:rFonts w:ascii="仿宋_GB2312" w:eastAsia="仿宋_GB2312"/>
          <w:sz w:val="34"/>
          <w:szCs w:val="34"/>
        </w:rPr>
      </w:pPr>
      <w:r>
        <w:rPr>
          <w:rFonts w:hint="eastAsia" w:ascii="仿宋_GB2312" w:eastAsia="仿宋_GB2312"/>
          <w:sz w:val="34"/>
          <w:szCs w:val="34"/>
        </w:rPr>
        <w:t>目前，大连市正在全面贯彻落实党的十八届五中全会精神，实施东北老工业基地振兴、辽宁沿海经济带开发开放以及大连金普新区开发建设战略，加快建设产业结构优化的先导区和经济社会发展的先行区。我市“十三五”规划明确主城区要进一步提升高端服务功能，增强高端要素集聚和辐射能力，建成功能突出、产业高端、生态宜居、文化浓郁的现代化城区，这些都赋予西岗区新的任务和更高要求。</w:t>
      </w:r>
    </w:p>
    <w:p w14:paraId="13FF778D">
      <w:pPr>
        <w:adjustRightInd w:val="0"/>
        <w:ind w:firstLine="680" w:firstLineChars="200"/>
        <w:rPr>
          <w:rFonts w:ascii="仿宋_GB2312" w:eastAsia="仿宋_GB2312"/>
          <w:sz w:val="34"/>
          <w:szCs w:val="34"/>
        </w:rPr>
      </w:pPr>
      <w:r>
        <w:rPr>
          <w:rFonts w:hint="eastAsia" w:ascii="仿宋_GB2312" w:eastAsia="仿宋_GB2312"/>
          <w:sz w:val="34"/>
          <w:szCs w:val="34"/>
        </w:rPr>
        <w:t>立足于新的形势和任务，区委、区政府高度重视，精心部署，全面推进“十三五”规划编制工作。编制工作历时9个月，历经前期调研、起草编制、修改论证三个阶段，充分借鉴先进城区经验，广泛征求人大代表、政协委员、专家学者和社会各界意见，经反复研究修改，最终形成此稿。</w:t>
      </w:r>
    </w:p>
    <w:p w14:paraId="38F4C193">
      <w:pPr>
        <w:adjustRightInd w:val="0"/>
        <w:ind w:firstLine="680" w:firstLineChars="200"/>
        <w:rPr>
          <w:rFonts w:ascii="仿宋_GB2312" w:eastAsia="仿宋_GB2312"/>
          <w:sz w:val="34"/>
          <w:szCs w:val="34"/>
        </w:rPr>
      </w:pPr>
      <w:r>
        <w:rPr>
          <w:rFonts w:hint="eastAsia" w:ascii="仿宋_GB2312" w:eastAsia="仿宋_GB2312"/>
          <w:sz w:val="34"/>
          <w:szCs w:val="34"/>
        </w:rPr>
        <w:t>西岗区“十三五”规划的中心是提高发展质量和效益，主线是转变经济发展方式，动力是改革开放创新，载体是“双十”工程，根本是保障和改善民生，保证是坚持党的全面领导和依法治区，联动发展一轴，重点建设六区。力争通过实施“十三五”规划，全力推动城区经济社会健康协调可持续发展，率先全面建成小康社会，将西岗区建设成为现代化品质城区。</w:t>
      </w:r>
    </w:p>
    <w:p w14:paraId="3EAB311D">
      <w:pPr>
        <w:adjustRightInd w:val="0"/>
        <w:ind w:firstLine="680" w:firstLineChars="200"/>
        <w:rPr>
          <w:rFonts w:ascii="仿宋_GB2312" w:eastAsia="仿宋_GB2312"/>
          <w:sz w:val="34"/>
          <w:szCs w:val="34"/>
        </w:rPr>
      </w:pPr>
      <w:r>
        <w:rPr>
          <w:rFonts w:hint="eastAsia" w:ascii="仿宋_GB2312" w:eastAsia="仿宋_GB2312"/>
          <w:sz w:val="34"/>
          <w:szCs w:val="34"/>
        </w:rPr>
        <w:t>与以往规划相比较，《纲要（草案）》在体例上有所创新，一是以目标式标题统领章节；二是设置专栏对文本内容进行说明，《纲要（草案）》共设置专栏</w:t>
      </w:r>
      <w:r>
        <w:rPr>
          <w:rFonts w:ascii="仿宋_GB2312" w:eastAsia="仿宋_GB2312"/>
          <w:sz w:val="34"/>
          <w:szCs w:val="34"/>
        </w:rPr>
        <w:t>9</w:t>
      </w:r>
      <w:r>
        <w:rPr>
          <w:rFonts w:hint="eastAsia" w:ascii="仿宋_GB2312" w:eastAsia="仿宋_GB2312"/>
          <w:sz w:val="34"/>
          <w:szCs w:val="34"/>
        </w:rPr>
        <w:t>个。</w:t>
      </w:r>
    </w:p>
    <w:p w14:paraId="13DBA5EB">
      <w:pPr>
        <w:adjustRightInd w:val="0"/>
        <w:ind w:firstLine="680" w:firstLineChars="200"/>
        <w:outlineLvl w:val="0"/>
        <w:rPr>
          <w:rFonts w:ascii="黑体" w:eastAsia="黑体"/>
          <w:sz w:val="34"/>
          <w:szCs w:val="34"/>
        </w:rPr>
      </w:pPr>
      <w:r>
        <w:rPr>
          <w:rFonts w:hint="eastAsia" w:ascii="黑体" w:eastAsia="黑体"/>
          <w:sz w:val="34"/>
          <w:szCs w:val="34"/>
        </w:rPr>
        <w:t>二、关于《纲要（草案）》的指标体系</w:t>
      </w:r>
    </w:p>
    <w:p w14:paraId="5EB8AD21">
      <w:pPr>
        <w:adjustRightInd w:val="0"/>
        <w:ind w:firstLine="680" w:firstLineChars="200"/>
        <w:rPr>
          <w:rFonts w:ascii="仿宋_GB2312" w:eastAsia="仿宋_GB2312"/>
          <w:sz w:val="34"/>
          <w:szCs w:val="34"/>
        </w:rPr>
      </w:pPr>
      <w:r>
        <w:rPr>
          <w:rFonts w:hint="eastAsia" w:ascii="仿宋_GB2312" w:eastAsia="仿宋_GB2312"/>
          <w:sz w:val="34"/>
          <w:szCs w:val="34"/>
        </w:rPr>
        <w:t>围绕“十三五”时期西岗区建设现代化品质城区的总体目标，《纲要（草案）》共设定</w:t>
      </w:r>
      <w:r>
        <w:rPr>
          <w:rFonts w:ascii="仿宋_GB2312" w:eastAsia="仿宋_GB2312"/>
          <w:sz w:val="34"/>
          <w:szCs w:val="34"/>
        </w:rPr>
        <w:t>25</w:t>
      </w:r>
      <w:r>
        <w:rPr>
          <w:rFonts w:hint="eastAsia" w:ascii="仿宋_GB2312" w:eastAsia="仿宋_GB2312"/>
          <w:sz w:val="34"/>
          <w:szCs w:val="34"/>
        </w:rPr>
        <w:t>项量化指标。按照指标属性，分为</w:t>
      </w:r>
      <w:r>
        <w:rPr>
          <w:rFonts w:ascii="仿宋_GB2312" w:eastAsia="仿宋_GB2312"/>
          <w:sz w:val="34"/>
          <w:szCs w:val="34"/>
        </w:rPr>
        <w:t>16</w:t>
      </w:r>
      <w:r>
        <w:rPr>
          <w:rFonts w:hint="eastAsia" w:ascii="仿宋_GB2312" w:eastAsia="仿宋_GB2312"/>
          <w:sz w:val="34"/>
          <w:szCs w:val="34"/>
        </w:rPr>
        <w:t>项预期性指标和</w:t>
      </w:r>
      <w:r>
        <w:rPr>
          <w:rFonts w:ascii="仿宋_GB2312" w:eastAsia="仿宋_GB2312"/>
          <w:sz w:val="34"/>
          <w:szCs w:val="34"/>
        </w:rPr>
        <w:t>9</w:t>
      </w:r>
      <w:r>
        <w:rPr>
          <w:rFonts w:hint="eastAsia" w:ascii="仿宋_GB2312" w:eastAsia="仿宋_GB2312"/>
          <w:sz w:val="34"/>
          <w:szCs w:val="34"/>
        </w:rPr>
        <w:t>项约束性指标。按照指标类别，分为经济发展、社会民生、创新驱动和生态环境四大类。在</w:t>
      </w:r>
      <w:r>
        <w:rPr>
          <w:rFonts w:ascii="仿宋_GB2312" w:eastAsia="仿宋_GB2312"/>
          <w:sz w:val="34"/>
          <w:szCs w:val="34"/>
        </w:rPr>
        <w:t>25</w:t>
      </w:r>
      <w:r>
        <w:rPr>
          <w:rFonts w:hint="eastAsia" w:ascii="仿宋_GB2312" w:eastAsia="仿宋_GB2312"/>
          <w:sz w:val="34"/>
          <w:szCs w:val="34"/>
        </w:rPr>
        <w:t>项指标中，社会民生指标比重最大，高于全市平均水平。新增创新驱动类指标，旨在集聚优势资源，提升创新对经济发展的贡献度。新增生态环境类指标，是按照国家要求，将资源消耗上限、环境质量底线、生态保护红线等作为硬性约束，生态环境指标均为约束性指标。在指标表现形式上，《纲要（草案）》采用正文加附表的形式，使指标更加直观、清晰。</w:t>
      </w:r>
    </w:p>
    <w:p w14:paraId="4FC065C5">
      <w:pPr>
        <w:adjustRightInd w:val="0"/>
        <w:ind w:firstLine="680" w:firstLineChars="200"/>
        <w:outlineLvl w:val="0"/>
        <w:rPr>
          <w:rFonts w:ascii="黑体" w:eastAsia="黑体"/>
          <w:sz w:val="34"/>
          <w:szCs w:val="34"/>
        </w:rPr>
      </w:pPr>
      <w:r>
        <w:rPr>
          <w:rFonts w:hint="eastAsia" w:ascii="黑体" w:eastAsia="黑体"/>
          <w:sz w:val="34"/>
          <w:szCs w:val="34"/>
        </w:rPr>
        <w:t>三、关于“现代化品质城区”</w:t>
      </w:r>
    </w:p>
    <w:p w14:paraId="210348B1">
      <w:pPr>
        <w:adjustRightInd w:val="0"/>
        <w:ind w:firstLine="680" w:firstLineChars="200"/>
        <w:rPr>
          <w:rFonts w:ascii="仿宋_GB2312" w:eastAsia="仿宋_GB2312"/>
          <w:sz w:val="34"/>
          <w:szCs w:val="34"/>
        </w:rPr>
      </w:pPr>
      <w:r>
        <w:rPr>
          <w:rFonts w:hint="eastAsia" w:ascii="仿宋_GB2312" w:eastAsia="仿宋_GB2312"/>
          <w:sz w:val="34"/>
          <w:szCs w:val="34"/>
        </w:rPr>
        <w:t>“十二五”规划中提出了“品质城区”的概念，涵盖了经济发展、社会进步、生态环境等主要领域。本次《纲要（草案）》提出建设“现代化品质城区”，是现代化发展理念的具体实践，是对“品质城区”的拓展、完善和提升。</w:t>
      </w:r>
    </w:p>
    <w:p w14:paraId="3A00FC55">
      <w:pPr>
        <w:adjustRightInd w:val="0"/>
        <w:ind w:firstLine="680" w:firstLineChars="200"/>
        <w:rPr>
          <w:rFonts w:ascii="仿宋_GB2312" w:eastAsia="仿宋_GB2312"/>
          <w:sz w:val="34"/>
          <w:szCs w:val="34"/>
        </w:rPr>
      </w:pPr>
      <w:r>
        <w:rPr>
          <w:rFonts w:hint="eastAsia" w:ascii="仿宋_GB2312" w:eastAsia="仿宋_GB2312"/>
          <w:sz w:val="34"/>
          <w:szCs w:val="34"/>
        </w:rPr>
        <w:t>建设现代化品质城区具有重大的现实意义和深远的历史意义。现代化品质城区建设，是西岗区引领经济新常态实现内涵发展的有力抓手；是落实中央“四个全面”战略布局的重要载体；是对大连市建设“两先区”目标的积极响应；是率先全面建成小康社会的创新实践。</w:t>
      </w:r>
    </w:p>
    <w:p w14:paraId="284BBCF2">
      <w:pPr>
        <w:adjustRightInd w:val="0"/>
        <w:ind w:firstLine="680" w:firstLineChars="200"/>
        <w:rPr>
          <w:rFonts w:ascii="仿宋_GB2312" w:eastAsia="仿宋_GB2312"/>
          <w:sz w:val="34"/>
          <w:szCs w:val="34"/>
        </w:rPr>
      </w:pPr>
      <w:r>
        <w:rPr>
          <w:rFonts w:hint="eastAsia" w:ascii="仿宋_GB2312" w:eastAsia="仿宋_GB2312"/>
          <w:sz w:val="34"/>
          <w:szCs w:val="34"/>
        </w:rPr>
        <w:t>建设“现代化品质城区”，就是以创新为核心动力。经济发展由要素驱动转向创新驱动，产业升级转型，空间不断拓展，发展更有质量；产业结构方面实现优势产业和新兴产业双轮驱动，多经济增长点融合互动发展，城区经济活力涌现；生态建设方面实现集约发展、绿色发展，城区管理更加精细化，城区环境和谐美丽宜居；城区功能方面实现基础设施、公共服务深度融合智慧化，合作交流多领域多层次，发展环境开放包容；民生福祉方面努力实现基本公共服务均等化，居民可支配收入和综合素质实现双攀升，社会治理更加现代化，社会和谐、公正、文明、幸福。</w:t>
      </w:r>
    </w:p>
    <w:p w14:paraId="7FD27D42">
      <w:pPr>
        <w:adjustRightInd w:val="0"/>
        <w:ind w:firstLine="680" w:firstLineChars="200"/>
        <w:outlineLvl w:val="0"/>
        <w:rPr>
          <w:rFonts w:ascii="黑体" w:eastAsia="黑体"/>
          <w:sz w:val="34"/>
          <w:szCs w:val="34"/>
        </w:rPr>
      </w:pPr>
      <w:r>
        <w:rPr>
          <w:rFonts w:hint="eastAsia" w:ascii="黑体" w:eastAsia="黑体"/>
          <w:sz w:val="34"/>
          <w:szCs w:val="34"/>
        </w:rPr>
        <w:t>四、关于创新引领西岗发展</w:t>
      </w:r>
    </w:p>
    <w:p w14:paraId="56704E8D">
      <w:pPr>
        <w:adjustRightInd w:val="0"/>
        <w:ind w:firstLine="680" w:firstLineChars="200"/>
        <w:rPr>
          <w:rFonts w:ascii="仿宋_GB2312" w:eastAsia="仿宋_GB2312"/>
          <w:sz w:val="34"/>
          <w:szCs w:val="34"/>
        </w:rPr>
      </w:pPr>
      <w:r>
        <w:rPr>
          <w:rFonts w:hint="eastAsia" w:ascii="仿宋_GB2312" w:eastAsia="仿宋_GB2312"/>
          <w:sz w:val="34"/>
          <w:szCs w:val="34"/>
        </w:rPr>
        <w:t>创新是“十三五”时期发展的主题，在《纲要（草案）》中独立成篇，这是贯彻落实党的十八届五中全会精神的具体体现，与大连市“十三五”规划的体例结构相一致。《纲要（草案）》提出坚持把创新作为引领全区发展的第一动力，以创新统领经济社会发展全局，以科技创新为核心引领全面创新，着力营造创新创业环境，激发创新主体活力</w:t>
      </w:r>
      <w:bookmarkStart w:id="89" w:name="_Toc438383063"/>
      <w:r>
        <w:rPr>
          <w:rFonts w:hint="eastAsia" w:ascii="仿宋_GB2312" w:eastAsia="仿宋_GB2312"/>
          <w:sz w:val="34"/>
          <w:szCs w:val="34"/>
        </w:rPr>
        <w:t>，搭建创新创业载体</w:t>
      </w:r>
      <w:bookmarkEnd w:id="89"/>
      <w:bookmarkStart w:id="90" w:name="_Toc438383064"/>
      <w:r>
        <w:rPr>
          <w:rFonts w:hint="eastAsia" w:ascii="仿宋_GB2312" w:eastAsia="仿宋_GB2312"/>
          <w:sz w:val="34"/>
          <w:szCs w:val="34"/>
        </w:rPr>
        <w:t>，建设创新人才队伍</w:t>
      </w:r>
      <w:bookmarkEnd w:id="90"/>
      <w:r>
        <w:rPr>
          <w:rFonts w:hint="eastAsia" w:ascii="仿宋_GB2312" w:eastAsia="仿宋_GB2312"/>
          <w:sz w:val="34"/>
          <w:szCs w:val="34"/>
        </w:rPr>
        <w:t>，优化资本、土地、技术、人才和管理等要素配置，促进新技术、新业态、新模式、新产业蓬勃发展，推进创新和经济的深度融合，把西岗区打造成为大连市创新创业高地。</w:t>
      </w:r>
    </w:p>
    <w:p w14:paraId="08C5CDD7">
      <w:pPr>
        <w:adjustRightInd w:val="0"/>
        <w:ind w:firstLine="680" w:firstLineChars="200"/>
        <w:outlineLvl w:val="0"/>
        <w:rPr>
          <w:rFonts w:ascii="黑体" w:eastAsia="黑体"/>
          <w:sz w:val="34"/>
          <w:szCs w:val="34"/>
        </w:rPr>
      </w:pPr>
      <w:r>
        <w:rPr>
          <w:rFonts w:hint="eastAsia" w:ascii="黑体" w:eastAsia="黑体"/>
          <w:sz w:val="34"/>
          <w:szCs w:val="34"/>
        </w:rPr>
        <w:t>五、关于城区空间功能布局</w:t>
      </w:r>
    </w:p>
    <w:p w14:paraId="63EF1251">
      <w:pPr>
        <w:adjustRightInd w:val="0"/>
        <w:ind w:firstLine="680" w:firstLineChars="200"/>
        <w:rPr>
          <w:rFonts w:hint="eastAsia" w:ascii="仿宋_GB2312" w:eastAsia="仿宋_GB2312"/>
          <w:sz w:val="34"/>
          <w:szCs w:val="34"/>
        </w:rPr>
      </w:pPr>
      <w:r>
        <w:rPr>
          <w:rFonts w:hint="eastAsia" w:ascii="仿宋_GB2312" w:eastAsia="仿宋_GB2312"/>
          <w:sz w:val="34"/>
          <w:szCs w:val="34"/>
        </w:rPr>
        <w:t>《纲要（草案）》提出，“十三五”时期，要联动发展一轴，重点建设六区，简称“一轴六区”。</w:t>
      </w:r>
    </w:p>
    <w:p w14:paraId="7DD79CEA">
      <w:pPr>
        <w:adjustRightInd w:val="0"/>
        <w:ind w:firstLine="680" w:firstLineChars="200"/>
        <w:rPr>
          <w:rFonts w:ascii="仿宋_GB2312" w:eastAsia="仿宋_GB2312"/>
          <w:sz w:val="34"/>
          <w:szCs w:val="34"/>
        </w:rPr>
      </w:pPr>
      <w:r>
        <w:rPr>
          <w:rFonts w:hint="eastAsia" w:ascii="仿宋_GB2312" w:eastAsia="仿宋_GB2312"/>
          <w:sz w:val="34"/>
          <w:szCs w:val="34"/>
        </w:rPr>
        <w:t>“一轴”是指长春路及八一路经济发展轴。重点推动健康服务业发展，建立覆盖沿线区域、内涵丰富、结构合理的健康养老服务体系。向北联动香炉礁和站北区域，推动健康休闲、商贸物流等产业互动发展。中部依托商圈经济和地铁经济效应，推进健康服务和现代商贸双核驱动发展。向南聚合山海旅游和商务楼宇资源，促进养生养老、健康旅游、电子商务等产业协同发展。“一轴”贯通南北，脉动六区，营造宜养、宜创、宜乐、宜居的多元生态环境，打造产、城、人融合的经济发展轴线。</w:t>
      </w:r>
    </w:p>
    <w:p w14:paraId="30F78FE9">
      <w:pPr>
        <w:adjustRightInd w:val="0"/>
        <w:ind w:firstLine="680" w:firstLineChars="200"/>
        <w:rPr>
          <w:rFonts w:ascii="仿宋_GB2312" w:eastAsia="仿宋_GB2312"/>
          <w:sz w:val="34"/>
          <w:szCs w:val="34"/>
        </w:rPr>
      </w:pPr>
      <w:r>
        <w:rPr>
          <w:rFonts w:hint="eastAsia" w:ascii="仿宋_GB2312" w:eastAsia="仿宋_GB2312"/>
          <w:sz w:val="34"/>
          <w:szCs w:val="34"/>
        </w:rPr>
        <w:t>“六个功能区”是指站北商贸商务文化区、香炉礁国际商贸物流区、新开路金融商业区、一二九街国际商务区、奥林匹克现代商业区和傅家庄休闲旅游商务区。“六个功能区”更加注重资源整合，更加强调功能提升，代表了未来我区产业发展方向，代表了现代服务业集聚区的聚合水准。</w:t>
      </w:r>
    </w:p>
    <w:p w14:paraId="74C6CCCF">
      <w:pPr>
        <w:adjustRightInd w:val="0"/>
        <w:ind w:firstLine="680" w:firstLineChars="200"/>
        <w:rPr>
          <w:rFonts w:ascii="仿宋_GB2312" w:eastAsia="仿宋_GB2312"/>
          <w:sz w:val="34"/>
          <w:szCs w:val="34"/>
        </w:rPr>
      </w:pPr>
      <w:r>
        <w:rPr>
          <w:rFonts w:hint="eastAsia" w:ascii="仿宋_GB2312" w:eastAsia="仿宋_GB2312"/>
          <w:sz w:val="34"/>
          <w:szCs w:val="34"/>
        </w:rPr>
        <w:t>“一轴六区”经济功能布局的提出，是经过广泛研讨、集思广益的结果，符合大连市对西岗区的功能定位，符合我区区情和发展趋势。以该功能布局为载体，将有效拓宽城区经济发展空间，加速经济动力转换，助力区域协同发展，也必将大幅提升城区经济的影响力和辐射力。</w:t>
      </w:r>
    </w:p>
    <w:p w14:paraId="3EBA2A79">
      <w:pPr>
        <w:adjustRightInd w:val="0"/>
        <w:ind w:firstLine="680" w:firstLineChars="200"/>
        <w:outlineLvl w:val="0"/>
        <w:rPr>
          <w:rFonts w:ascii="黑体" w:eastAsia="黑体"/>
          <w:sz w:val="34"/>
          <w:szCs w:val="34"/>
        </w:rPr>
      </w:pPr>
      <w:r>
        <w:rPr>
          <w:rFonts w:hint="eastAsia" w:ascii="黑体" w:eastAsia="黑体"/>
          <w:sz w:val="34"/>
          <w:szCs w:val="34"/>
        </w:rPr>
        <w:t>六、关于产业结构调整</w:t>
      </w:r>
    </w:p>
    <w:p w14:paraId="0CBC33C9">
      <w:pPr>
        <w:adjustRightInd w:val="0"/>
        <w:ind w:firstLine="680" w:firstLineChars="200"/>
        <w:rPr>
          <w:rFonts w:ascii="仿宋_GB2312" w:eastAsia="仿宋_GB2312"/>
          <w:sz w:val="34"/>
          <w:szCs w:val="34"/>
        </w:rPr>
      </w:pPr>
      <w:r>
        <w:rPr>
          <w:rFonts w:hint="eastAsia" w:ascii="仿宋_GB2312" w:eastAsia="仿宋_GB2312"/>
          <w:sz w:val="34"/>
          <w:szCs w:val="34"/>
        </w:rPr>
        <w:t>《纲要（草案）》提出重点发展优势服务业，加快培育新兴服务业，积极发展创新、共享、平台、开放四种新型经济业态，构建优良产业生态。四种新型经济业态是对结构型、功能型、繁荣型“三型经济”维度的拓展。</w:t>
      </w:r>
    </w:p>
    <w:p w14:paraId="32531705">
      <w:pPr>
        <w:adjustRightInd w:val="0"/>
        <w:ind w:firstLine="680" w:firstLineChars="200"/>
        <w:rPr>
          <w:rFonts w:ascii="仿宋_GB2312" w:eastAsia="仿宋_GB2312"/>
          <w:sz w:val="34"/>
          <w:szCs w:val="34"/>
        </w:rPr>
      </w:pPr>
      <w:r>
        <w:rPr>
          <w:rFonts w:hint="eastAsia" w:ascii="仿宋_GB2312" w:eastAsia="仿宋_GB2312"/>
          <w:sz w:val="34"/>
          <w:szCs w:val="34"/>
        </w:rPr>
        <w:t>《纲要（草案）》提出将居民服务业作为优势服务业重点发展，主要基于两方面考虑。一是产业基础较好。居民服务业税收贡献在西岗区产业税收构成中居于前列；二是符合主城区产业发展方向。发展居民服务业有利于扩大就业，促进创业，拉动经济增长，提升城区公共服务供给质量。</w:t>
      </w:r>
    </w:p>
    <w:p w14:paraId="0DB4C65B">
      <w:pPr>
        <w:adjustRightInd w:val="0"/>
        <w:ind w:firstLine="680" w:firstLineChars="200"/>
        <w:rPr>
          <w:rFonts w:hint="eastAsia" w:ascii="仿宋_GB2312" w:eastAsia="仿宋_GB2312"/>
          <w:sz w:val="34"/>
          <w:szCs w:val="34"/>
        </w:rPr>
      </w:pPr>
      <w:r>
        <w:rPr>
          <w:rFonts w:hint="eastAsia" w:ascii="仿宋_GB2312" w:eastAsia="仿宋_GB2312"/>
          <w:sz w:val="34"/>
          <w:szCs w:val="34"/>
        </w:rPr>
        <w:t>《纲要（草案）》提出的五大新兴服务业，主要基于三个方面因素。一是非银行类金融、电子商务和健康服务业在“十二五”期间发展基础较好，需要加快培育早出效益；二是智力服务业为朝阳产业，辖区资源集聚度较高，具备良好基础。三是科技服务业</w:t>
      </w:r>
      <w:bookmarkStart w:id="91" w:name="_Toc433958809"/>
      <w:r>
        <w:rPr>
          <w:rFonts w:hint="eastAsia" w:ascii="仿宋_GB2312" w:eastAsia="仿宋_GB2312"/>
          <w:sz w:val="34"/>
          <w:szCs w:val="34"/>
        </w:rPr>
        <w:t>作为产业细化分工、融合生长趋势下形成的新产业，是创新驱动战略的重要支撑，需要作为新兴服务业加快培育。</w:t>
      </w:r>
    </w:p>
    <w:bookmarkEnd w:id="91"/>
    <w:p w14:paraId="37184D96">
      <w:pPr>
        <w:adjustRightInd w:val="0"/>
        <w:ind w:firstLine="680" w:firstLineChars="200"/>
        <w:outlineLvl w:val="0"/>
        <w:rPr>
          <w:rFonts w:ascii="黑体" w:eastAsia="黑体"/>
          <w:sz w:val="34"/>
          <w:szCs w:val="34"/>
        </w:rPr>
      </w:pPr>
      <w:r>
        <w:rPr>
          <w:rFonts w:hint="eastAsia" w:ascii="黑体" w:eastAsia="黑体"/>
          <w:sz w:val="34"/>
          <w:szCs w:val="34"/>
        </w:rPr>
        <w:t>七、关于建设社会治理现代化引领区</w:t>
      </w:r>
    </w:p>
    <w:p w14:paraId="748AE87C">
      <w:pPr>
        <w:adjustRightInd w:val="0"/>
        <w:ind w:firstLine="680" w:firstLineChars="200"/>
        <w:rPr>
          <w:rFonts w:ascii="仿宋_GB2312" w:eastAsia="仿宋_GB2312"/>
          <w:sz w:val="34"/>
          <w:szCs w:val="34"/>
        </w:rPr>
      </w:pPr>
      <w:r>
        <w:rPr>
          <w:rFonts w:ascii="仿宋_GB2312" w:eastAsia="仿宋_GB2312"/>
          <w:sz w:val="34"/>
          <w:szCs w:val="34"/>
        </w:rPr>
        <w:t>365</w:t>
      </w:r>
      <w:r>
        <w:rPr>
          <w:rFonts w:hint="eastAsia" w:ascii="仿宋_GB2312" w:eastAsia="仿宋_GB2312"/>
          <w:sz w:val="34"/>
          <w:szCs w:val="34"/>
        </w:rPr>
        <w:t>工作体系是西岗区“十二五”时期的重要成就，该体系实现区、街、社区、网格三级管理和四级联动，形成多元参与、协同共治的社会治理格局，搭建起党和政府联系群众、推进基层民主建设的新平台。社会治理创新是保障和改善民生的具体体现，是城区居民安居乐业、社会安定有序的重要保障。《纲要（草案）》中将社会治理独立成篇，既符合西岗区在全国社会治理领域示范引领的实际定位，也是西岗区“十三五”时期“以保障和改善民生为根本”理念的具体落实。</w:t>
      </w:r>
    </w:p>
    <w:p w14:paraId="65448BB8">
      <w:pPr>
        <w:adjustRightInd w:val="0"/>
        <w:ind w:firstLine="680" w:firstLineChars="200"/>
        <w:rPr>
          <w:rFonts w:ascii="仿宋_GB2312" w:eastAsia="仿宋_GB2312"/>
          <w:sz w:val="34"/>
          <w:szCs w:val="34"/>
        </w:rPr>
      </w:pPr>
      <w:r>
        <w:rPr>
          <w:rFonts w:hint="eastAsia" w:ascii="仿宋_GB2312" w:eastAsia="仿宋_GB2312"/>
          <w:sz w:val="34"/>
          <w:szCs w:val="34"/>
        </w:rPr>
        <w:t>未来五年，西岗区将继续以“做群众需要的事，做事让群众满意”为核心理念，坚持系统治理、综合治理、依法治理和源头治理。通过进一步深化社会治理体系</w:t>
      </w:r>
      <w:bookmarkStart w:id="92" w:name="_Toc438383088"/>
      <w:r>
        <w:rPr>
          <w:rFonts w:hint="eastAsia" w:ascii="仿宋_GB2312" w:eastAsia="仿宋_GB2312"/>
          <w:sz w:val="34"/>
          <w:szCs w:val="34"/>
        </w:rPr>
        <w:t>，完善社会治理机制</w:t>
      </w:r>
      <w:bookmarkEnd w:id="92"/>
      <w:bookmarkStart w:id="93" w:name="_Toc438383089"/>
      <w:r>
        <w:rPr>
          <w:rFonts w:hint="eastAsia" w:ascii="仿宋_GB2312" w:eastAsia="仿宋_GB2312"/>
          <w:sz w:val="34"/>
          <w:szCs w:val="34"/>
        </w:rPr>
        <w:t>，优化社会治理手段</w:t>
      </w:r>
      <w:bookmarkEnd w:id="93"/>
      <w:r>
        <w:rPr>
          <w:rFonts w:hint="eastAsia" w:ascii="仿宋_GB2312" w:eastAsia="仿宋_GB2312"/>
          <w:sz w:val="34"/>
          <w:szCs w:val="34"/>
        </w:rPr>
        <w:t>，推动治理重心下移、全民参与，将西岗区打造成为共建共享，活力和谐，公平正义，平安幸福的社会治理现代化引领区。</w:t>
      </w:r>
    </w:p>
    <w:p w14:paraId="7486CF78">
      <w:pPr>
        <w:adjustRightInd w:val="0"/>
        <w:ind w:firstLine="680" w:firstLineChars="200"/>
        <w:outlineLvl w:val="0"/>
        <w:rPr>
          <w:rFonts w:ascii="黑体" w:eastAsia="黑体"/>
          <w:sz w:val="34"/>
          <w:szCs w:val="34"/>
        </w:rPr>
      </w:pPr>
      <w:r>
        <w:rPr>
          <w:rFonts w:hint="eastAsia" w:ascii="黑体" w:eastAsia="黑体"/>
          <w:sz w:val="34"/>
          <w:szCs w:val="34"/>
        </w:rPr>
        <w:t>八、关于《纲要（草案）》与大连市“十三五”规划的衔接</w:t>
      </w:r>
    </w:p>
    <w:p w14:paraId="3C54083F">
      <w:pPr>
        <w:adjustRightInd w:val="0"/>
        <w:ind w:firstLine="680" w:firstLineChars="200"/>
        <w:rPr>
          <w:rFonts w:ascii="仿宋_GB2312" w:eastAsia="仿宋_GB2312"/>
          <w:sz w:val="34"/>
          <w:szCs w:val="34"/>
        </w:rPr>
      </w:pPr>
      <w:r>
        <w:rPr>
          <w:rFonts w:hint="eastAsia" w:ascii="仿宋_GB2312" w:eastAsia="仿宋_GB2312"/>
          <w:sz w:val="34"/>
          <w:szCs w:val="34"/>
        </w:rPr>
        <w:t>经过区委、区政府重点研究和策划，西岗区部分功能区和项目被纳入大连市“十三五”规划纲要草案。全市</w:t>
      </w:r>
      <w:r>
        <w:rPr>
          <w:rFonts w:ascii="仿宋_GB2312" w:eastAsia="仿宋_GB2312"/>
          <w:sz w:val="34"/>
          <w:szCs w:val="34"/>
        </w:rPr>
        <w:t>7</w:t>
      </w:r>
      <w:r>
        <w:rPr>
          <w:rFonts w:hint="eastAsia" w:ascii="仿宋_GB2312" w:eastAsia="仿宋_GB2312"/>
          <w:sz w:val="34"/>
          <w:szCs w:val="34"/>
        </w:rPr>
        <w:t>项文化遗产保护工程，我区胜利桥北街、烟台街、团结街位列其中；全市21个重点现代服务业聚集区建设，我区香炉礁国际商贸物流区和一二九街国际商务集聚区位列其中；全市</w:t>
      </w:r>
      <w:r>
        <w:rPr>
          <w:rFonts w:ascii="仿宋_GB2312" w:eastAsia="仿宋_GB2312"/>
          <w:sz w:val="34"/>
          <w:szCs w:val="34"/>
        </w:rPr>
        <w:t>7</w:t>
      </w:r>
      <w:r>
        <w:rPr>
          <w:rFonts w:hint="eastAsia" w:ascii="仿宋_GB2312" w:eastAsia="仿宋_GB2312"/>
          <w:sz w:val="34"/>
          <w:szCs w:val="34"/>
        </w:rPr>
        <w:t>个国际化品牌集聚区、时尚消费区，我区奥林匹克现代商业区和香炉礁国际商贸物流区位列其中；我区东关街旧城区改造项目被列为全市服务业发展重点项目；西岗</w:t>
      </w:r>
      <w:r>
        <w:rPr>
          <w:rFonts w:ascii="仿宋_GB2312" w:eastAsia="仿宋_GB2312"/>
          <w:sz w:val="34"/>
          <w:szCs w:val="34"/>
        </w:rPr>
        <w:t>PE</w:t>
      </w:r>
      <w:r>
        <w:rPr>
          <w:rFonts w:hint="eastAsia" w:ascii="仿宋_GB2312" w:eastAsia="仿宋_GB2312"/>
          <w:sz w:val="34"/>
          <w:szCs w:val="34"/>
        </w:rPr>
        <w:t>万达大厦成为大连市区域性金融中心建设重点。上述功能区和项目在全市发展中展现出的作用和实力，将有力带动西岗区在全市功能地位的进一步提升，显著增强西岗区对大连市“两先区”建设的重要推动作用。</w:t>
      </w:r>
    </w:p>
    <w:p w14:paraId="3E5771A9">
      <w:pPr>
        <w:adjustRightInd w:val="0"/>
        <w:ind w:firstLine="680" w:firstLineChars="200"/>
        <w:rPr>
          <w:rFonts w:hint="eastAsia" w:ascii="仿宋_GB2312" w:eastAsia="仿宋_GB2312"/>
          <w:sz w:val="32"/>
          <w:szCs w:val="32"/>
        </w:rPr>
      </w:pPr>
      <w:r>
        <w:rPr>
          <w:rFonts w:hint="eastAsia" w:ascii="仿宋_GB2312" w:eastAsia="仿宋_GB2312"/>
          <w:sz w:val="34"/>
          <w:szCs w:val="34"/>
        </w:rPr>
        <w:t>各位代表，“十三五”规划编制工作已经完成。我们将认真吸收各位代表和委员的意见，对《纲要（草案）》进行完善。今后，我们将在区委领导下，在区人大的法律监督和区政协的民主监督下，坚定信念，奋力拼搏，确保规划确定的各项目标任务圆满完成。</w:t>
      </w:r>
    </w:p>
    <w:p w14:paraId="01F2C102">
      <w:pPr>
        <w:spacing w:line="560" w:lineRule="exact"/>
        <w:ind w:firstLine="680" w:firstLineChars="200"/>
        <w:rPr>
          <w:rFonts w:hint="eastAsia" w:ascii="仿宋_GB2312" w:eastAsia="仿宋_GB2312"/>
          <w:kern w:val="16"/>
          <w:sz w:val="34"/>
          <w:szCs w:val="34"/>
        </w:rPr>
      </w:pPr>
    </w:p>
    <w:p w14:paraId="217895E3">
      <w:pPr>
        <w:spacing w:line="600" w:lineRule="exact"/>
        <w:ind w:firstLine="160" w:firstLineChars="50"/>
        <w:jc w:val="left"/>
        <w:rPr>
          <w:rFonts w:hint="eastAsia" w:eastAsia="仿宋_GB2312"/>
          <w:sz w:val="32"/>
          <w:szCs w:val="32"/>
        </w:rPr>
      </w:pPr>
      <w:r>
        <w:rPr>
          <w:rFonts w:hint="eastAsia" w:eastAsia="仿宋_GB2312"/>
          <w:sz w:val="32"/>
          <w:szCs w:val="32"/>
          <w:lang/>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2540</wp:posOffset>
                </wp:positionV>
                <wp:extent cx="5600700" cy="0"/>
                <wp:effectExtent l="0" t="9525" r="0" b="9525"/>
                <wp:wrapNone/>
                <wp:docPr id="10" name="直线 4"/>
                <wp:cNvGraphicFramePr/>
                <a:graphic xmlns:a="http://schemas.openxmlformats.org/drawingml/2006/main">
                  <a:graphicData uri="http://schemas.microsoft.com/office/word/2010/wordprocessingShape">
                    <wps:wsp>
                      <wps:cNvSpPr/>
                      <wps:spPr>
                        <a:xfrm>
                          <a:off x="0" y="0"/>
                          <a:ext cx="56007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0pt;margin-top:0.2pt;height:0pt;width:441pt;z-index:251668480;mso-width-relative:page;mso-height-relative:page;" filled="f" stroked="t" coordsize="21600,21600" o:gfxdata="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Ergs8AAAACAQAADwAA&#10;AAAAAAABACAAAAAiAAAAZHJzL2Rvd25yZXYueG1sUEsBAhQAFAAAAAgAh07iQAyTe5PmAQAA3QMA&#10;AA4AAAAAAAAAAQAgAAAAHgEAAGRycy9lMm9Eb2MueG1sUEsFBgAAAAAGAAYAWQEAAHYFAAAAAA==&#10;">
                <v:fill on="f" focussize="0,0"/>
                <v:stroke weight="1.5pt" color="#000000" joinstyle="round"/>
                <v:imagedata o:title=""/>
                <o:lock v:ext="edit" aspectratio="f"/>
              </v:line>
            </w:pict>
          </mc:Fallback>
        </mc:AlternateContent>
      </w:r>
      <w:r>
        <w:rPr>
          <w:rFonts w:hint="eastAsia" w:eastAsia="仿宋_GB2312"/>
          <w:sz w:val="32"/>
          <w:szCs w:val="32"/>
        </w:rPr>
        <w:t xml:space="preserve">中共大连市西岗区委办公室         </w:t>
      </w:r>
      <w:r>
        <w:rPr>
          <w:rFonts w:hint="eastAsia" w:ascii="仿宋_GB2312" w:eastAsia="仿宋_GB2312"/>
          <w:sz w:val="32"/>
          <w:szCs w:val="32"/>
        </w:rPr>
        <w:t xml:space="preserve"> 2016年6月1</w:t>
      </w:r>
      <w:r>
        <w:rPr>
          <w:rFonts w:hint="eastAsia" w:eastAsia="仿宋_GB2312"/>
          <w:sz w:val="32"/>
          <w:szCs w:val="32"/>
        </w:rPr>
        <w:t>日印发</w:t>
      </w:r>
    </w:p>
    <w:p w14:paraId="6D764A5C">
      <w:pPr>
        <w:pStyle w:val="7"/>
        <w:spacing w:line="20" w:lineRule="exact"/>
        <w:rPr>
          <w:rFonts w:hint="eastAsia" w:ascii="仿宋_GB2312" w:hAnsi="仿宋" w:eastAsia="仿宋_GB2312"/>
          <w:sz w:val="36"/>
          <w:szCs w:val="36"/>
        </w:rPr>
      </w:pPr>
      <w:r>
        <w:rPr>
          <w:rFonts w:hint="eastAsia" w:eastAsia="仿宋_GB2312"/>
          <w:lang/>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33020</wp:posOffset>
                </wp:positionV>
                <wp:extent cx="5600700" cy="0"/>
                <wp:effectExtent l="0" t="9525" r="0" b="9525"/>
                <wp:wrapNone/>
                <wp:docPr id="11" name="直线 5"/>
                <wp:cNvGraphicFramePr/>
                <a:graphic xmlns:a="http://schemas.openxmlformats.org/drawingml/2006/main">
                  <a:graphicData uri="http://schemas.microsoft.com/office/word/2010/wordprocessingShape">
                    <wps:wsp>
                      <wps:cNvSpPr/>
                      <wps:spPr>
                        <a:xfrm>
                          <a:off x="0" y="0"/>
                          <a:ext cx="56007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0pt;margin-top:2.6pt;height:0pt;width:441pt;z-index:251669504;mso-width-relative:page;mso-height-relative:page;" filled="f" stroked="t" coordsize="21600,21600" o:gfxdata="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R/dRtEAAAAEAQAA&#10;DwAAAAAAAAABACAAAAAiAAAAZHJzL2Rvd25yZXYueG1sUEsBAhQAFAAAAAgAh07iQHFdwOrnAQAA&#10;3QMAAA4AAAAAAAAAAQAgAAAAIAEAAGRycy9lMm9Eb2MueG1sUEsFBgAAAAAGAAYAWQEAAHkFAAAA&#10;AA==&#10;">
                <v:fill on="f" focussize="0,0"/>
                <v:stroke weight="1.5pt" color="#000000" joinstyle="round"/>
                <v:imagedata o:title=""/>
                <o:lock v:ext="edit" aspectratio="f"/>
              </v:line>
            </w:pict>
          </mc:Fallback>
        </mc:AlternateContent>
      </w:r>
      <w:r>
        <w:rPr>
          <w:rFonts w:hint="eastAsia" w:eastAsia="仿宋_GB2312"/>
        </w:rPr>
        <w:t xml:space="preserve">           </w:t>
      </w:r>
    </w:p>
    <w:sectPr>
      <w:footerReference r:id="rId3" w:type="default"/>
      <w:footerReference r:id="rId4" w:type="even"/>
      <w:pgSz w:w="11906" w:h="16838"/>
      <w:pgMar w:top="2211" w:right="1531" w:bottom="1871" w:left="1531"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5F2A4">
    <w:pPr>
      <w:pStyle w:val="10"/>
      <w:framePr w:wrap="around" w:vAnchor="text" w:hAnchor="margin" w:xAlign="outside" w:y="1"/>
      <w:rPr>
        <w:rStyle w:val="21"/>
        <w:rFonts w:hint="eastAsia" w:ascii="仿宋_GB2312" w:eastAsia="仿宋_GB2312"/>
        <w:sz w:val="28"/>
        <w:szCs w:val="28"/>
      </w:rPr>
    </w:pPr>
    <w:r>
      <w:rPr>
        <w:rStyle w:val="21"/>
        <w:rFonts w:hint="eastAsia" w:ascii="仿宋_GB2312" w:eastAsia="仿宋_GB2312"/>
        <w:sz w:val="28"/>
        <w:szCs w:val="28"/>
      </w:rPr>
      <w:fldChar w:fldCharType="begin"/>
    </w:r>
    <w:r>
      <w:rPr>
        <w:rStyle w:val="21"/>
        <w:rFonts w:hint="eastAsia" w:ascii="仿宋_GB2312" w:eastAsia="仿宋_GB2312"/>
        <w:sz w:val="28"/>
        <w:szCs w:val="28"/>
      </w:rPr>
      <w:instrText xml:space="preserve">PAGE  </w:instrText>
    </w:r>
    <w:r>
      <w:rPr>
        <w:rStyle w:val="21"/>
        <w:rFonts w:hint="eastAsia" w:ascii="仿宋_GB2312" w:eastAsia="仿宋_GB2312"/>
        <w:sz w:val="28"/>
        <w:szCs w:val="28"/>
      </w:rPr>
      <w:fldChar w:fldCharType="separate"/>
    </w:r>
    <w:r>
      <w:rPr>
        <w:rStyle w:val="21"/>
        <w:rFonts w:ascii="仿宋_GB2312" w:eastAsia="仿宋_GB2312"/>
        <w:sz w:val="28"/>
        <w:szCs w:val="28"/>
        <w:lang/>
      </w:rPr>
      <w:t>- 1 -</w:t>
    </w:r>
    <w:r>
      <w:rPr>
        <w:rStyle w:val="21"/>
        <w:rFonts w:hint="eastAsia" w:ascii="仿宋_GB2312" w:eastAsia="仿宋_GB2312"/>
        <w:sz w:val="28"/>
        <w:szCs w:val="28"/>
      </w:rPr>
      <w:fldChar w:fldCharType="end"/>
    </w:r>
  </w:p>
  <w:p w14:paraId="3306F464">
    <w:pPr>
      <w:pStyle w:val="10"/>
      <w:ind w:right="360" w:firstLine="360"/>
      <w:rPr>
        <w:rFonts w:hint="eastAsia"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21A6A">
    <w:pPr>
      <w:pStyle w:val="10"/>
      <w:framePr w:wrap="around" w:vAnchor="text" w:hAnchor="margin" w:xAlign="outside" w:y="1"/>
      <w:rPr>
        <w:rStyle w:val="21"/>
      </w:rPr>
    </w:pPr>
    <w:r>
      <w:fldChar w:fldCharType="begin"/>
    </w:r>
    <w:r>
      <w:rPr>
        <w:rStyle w:val="21"/>
      </w:rPr>
      <w:instrText xml:space="preserve">PAGE  </w:instrText>
    </w:r>
    <w:r>
      <w:fldChar w:fldCharType="separate"/>
    </w:r>
    <w:r>
      <w:fldChar w:fldCharType="end"/>
    </w:r>
  </w:p>
  <w:p w14:paraId="25C1E4AB">
    <w:pPr>
      <w:pStyle w:val="10"/>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5B2"/>
    <w:rsid w:val="000017B5"/>
    <w:rsid w:val="00003A91"/>
    <w:rsid w:val="000040D1"/>
    <w:rsid w:val="000052E8"/>
    <w:rsid w:val="00005F04"/>
    <w:rsid w:val="000079FE"/>
    <w:rsid w:val="00012A3A"/>
    <w:rsid w:val="00013906"/>
    <w:rsid w:val="000146E4"/>
    <w:rsid w:val="0001511E"/>
    <w:rsid w:val="00021801"/>
    <w:rsid w:val="00021C36"/>
    <w:rsid w:val="00021DC8"/>
    <w:rsid w:val="00023BEF"/>
    <w:rsid w:val="000301B8"/>
    <w:rsid w:val="00030552"/>
    <w:rsid w:val="0003132E"/>
    <w:rsid w:val="000318B8"/>
    <w:rsid w:val="00034966"/>
    <w:rsid w:val="00036414"/>
    <w:rsid w:val="0004038C"/>
    <w:rsid w:val="00040E17"/>
    <w:rsid w:val="00041A60"/>
    <w:rsid w:val="0004449F"/>
    <w:rsid w:val="00053F7C"/>
    <w:rsid w:val="000543D6"/>
    <w:rsid w:val="00056AC9"/>
    <w:rsid w:val="00057903"/>
    <w:rsid w:val="00060181"/>
    <w:rsid w:val="00061247"/>
    <w:rsid w:val="000618CC"/>
    <w:rsid w:val="00066920"/>
    <w:rsid w:val="00071180"/>
    <w:rsid w:val="00071564"/>
    <w:rsid w:val="000727A2"/>
    <w:rsid w:val="000729E4"/>
    <w:rsid w:val="00074AEB"/>
    <w:rsid w:val="00075672"/>
    <w:rsid w:val="00076D70"/>
    <w:rsid w:val="00076EEE"/>
    <w:rsid w:val="0008103C"/>
    <w:rsid w:val="000813F6"/>
    <w:rsid w:val="00083142"/>
    <w:rsid w:val="00086868"/>
    <w:rsid w:val="000868E7"/>
    <w:rsid w:val="00087E63"/>
    <w:rsid w:val="000902E3"/>
    <w:rsid w:val="000930CA"/>
    <w:rsid w:val="00095DF1"/>
    <w:rsid w:val="000A1D1F"/>
    <w:rsid w:val="000A7C8E"/>
    <w:rsid w:val="000B0992"/>
    <w:rsid w:val="000B299E"/>
    <w:rsid w:val="000C59F8"/>
    <w:rsid w:val="000C6A6A"/>
    <w:rsid w:val="000C6B08"/>
    <w:rsid w:val="000C762A"/>
    <w:rsid w:val="000D17D7"/>
    <w:rsid w:val="000D3017"/>
    <w:rsid w:val="000D3BAB"/>
    <w:rsid w:val="000D559E"/>
    <w:rsid w:val="000E0EE8"/>
    <w:rsid w:val="000E15CA"/>
    <w:rsid w:val="000E2921"/>
    <w:rsid w:val="000E4564"/>
    <w:rsid w:val="000E4A71"/>
    <w:rsid w:val="000E597C"/>
    <w:rsid w:val="000F4614"/>
    <w:rsid w:val="000F50CA"/>
    <w:rsid w:val="000F5B4A"/>
    <w:rsid w:val="000F6496"/>
    <w:rsid w:val="000F6604"/>
    <w:rsid w:val="001003F4"/>
    <w:rsid w:val="001055F7"/>
    <w:rsid w:val="00106E62"/>
    <w:rsid w:val="00107A05"/>
    <w:rsid w:val="00111D16"/>
    <w:rsid w:val="0011218F"/>
    <w:rsid w:val="0011579D"/>
    <w:rsid w:val="00116AA3"/>
    <w:rsid w:val="00120E36"/>
    <w:rsid w:val="0012178C"/>
    <w:rsid w:val="001242E2"/>
    <w:rsid w:val="001243E7"/>
    <w:rsid w:val="00125DD9"/>
    <w:rsid w:val="00125EDD"/>
    <w:rsid w:val="001277AE"/>
    <w:rsid w:val="00127C32"/>
    <w:rsid w:val="00130DD7"/>
    <w:rsid w:val="001369BD"/>
    <w:rsid w:val="00145A53"/>
    <w:rsid w:val="00145D5E"/>
    <w:rsid w:val="001533FB"/>
    <w:rsid w:val="00153B84"/>
    <w:rsid w:val="00154160"/>
    <w:rsid w:val="00155826"/>
    <w:rsid w:val="00156655"/>
    <w:rsid w:val="0015770C"/>
    <w:rsid w:val="00163B1F"/>
    <w:rsid w:val="00166C53"/>
    <w:rsid w:val="00171BFF"/>
    <w:rsid w:val="00173153"/>
    <w:rsid w:val="00177984"/>
    <w:rsid w:val="00182C3A"/>
    <w:rsid w:val="001836D1"/>
    <w:rsid w:val="001927CE"/>
    <w:rsid w:val="00192E50"/>
    <w:rsid w:val="00193429"/>
    <w:rsid w:val="00194886"/>
    <w:rsid w:val="001951DB"/>
    <w:rsid w:val="00195FC8"/>
    <w:rsid w:val="001A1528"/>
    <w:rsid w:val="001A1A0B"/>
    <w:rsid w:val="001A1A19"/>
    <w:rsid w:val="001A2696"/>
    <w:rsid w:val="001A2E26"/>
    <w:rsid w:val="001A3E8A"/>
    <w:rsid w:val="001A4AE0"/>
    <w:rsid w:val="001B0309"/>
    <w:rsid w:val="001B37B9"/>
    <w:rsid w:val="001B4737"/>
    <w:rsid w:val="001B47BF"/>
    <w:rsid w:val="001B5EEE"/>
    <w:rsid w:val="001B64DF"/>
    <w:rsid w:val="001B7F1D"/>
    <w:rsid w:val="001C0C5E"/>
    <w:rsid w:val="001C1694"/>
    <w:rsid w:val="001C2D53"/>
    <w:rsid w:val="001C565D"/>
    <w:rsid w:val="001C615A"/>
    <w:rsid w:val="001C790C"/>
    <w:rsid w:val="001D0D0C"/>
    <w:rsid w:val="001D30AB"/>
    <w:rsid w:val="001D4899"/>
    <w:rsid w:val="001D5867"/>
    <w:rsid w:val="001E1095"/>
    <w:rsid w:val="001E1C51"/>
    <w:rsid w:val="001E253C"/>
    <w:rsid w:val="001E3778"/>
    <w:rsid w:val="001E37FE"/>
    <w:rsid w:val="001E41AD"/>
    <w:rsid w:val="001E73B1"/>
    <w:rsid w:val="001E77FD"/>
    <w:rsid w:val="001F080C"/>
    <w:rsid w:val="001F24C0"/>
    <w:rsid w:val="001F3B7C"/>
    <w:rsid w:val="001F6B92"/>
    <w:rsid w:val="00201D56"/>
    <w:rsid w:val="00203798"/>
    <w:rsid w:val="00203865"/>
    <w:rsid w:val="00205A1F"/>
    <w:rsid w:val="00214766"/>
    <w:rsid w:val="00217BD8"/>
    <w:rsid w:val="0022011B"/>
    <w:rsid w:val="00220EE8"/>
    <w:rsid w:val="0022125C"/>
    <w:rsid w:val="00221B52"/>
    <w:rsid w:val="002237AC"/>
    <w:rsid w:val="00224E92"/>
    <w:rsid w:val="00226D27"/>
    <w:rsid w:val="00230748"/>
    <w:rsid w:val="0023156A"/>
    <w:rsid w:val="00235365"/>
    <w:rsid w:val="0023660B"/>
    <w:rsid w:val="00236701"/>
    <w:rsid w:val="00236F5C"/>
    <w:rsid w:val="00242697"/>
    <w:rsid w:val="00244018"/>
    <w:rsid w:val="002458E1"/>
    <w:rsid w:val="0024640F"/>
    <w:rsid w:val="00247753"/>
    <w:rsid w:val="00256C29"/>
    <w:rsid w:val="0026355E"/>
    <w:rsid w:val="00263BED"/>
    <w:rsid w:val="00264EC1"/>
    <w:rsid w:val="00265B13"/>
    <w:rsid w:val="002702A7"/>
    <w:rsid w:val="00271608"/>
    <w:rsid w:val="002736D9"/>
    <w:rsid w:val="00275427"/>
    <w:rsid w:val="00275748"/>
    <w:rsid w:val="00281094"/>
    <w:rsid w:val="002817DF"/>
    <w:rsid w:val="0028297B"/>
    <w:rsid w:val="00283E35"/>
    <w:rsid w:val="00284DB7"/>
    <w:rsid w:val="002856B7"/>
    <w:rsid w:val="00286206"/>
    <w:rsid w:val="00286F6B"/>
    <w:rsid w:val="002871A6"/>
    <w:rsid w:val="0029323E"/>
    <w:rsid w:val="00293696"/>
    <w:rsid w:val="00293893"/>
    <w:rsid w:val="00294A3E"/>
    <w:rsid w:val="00297440"/>
    <w:rsid w:val="002A2ECD"/>
    <w:rsid w:val="002A3FBF"/>
    <w:rsid w:val="002A406A"/>
    <w:rsid w:val="002A5E0E"/>
    <w:rsid w:val="002A6135"/>
    <w:rsid w:val="002A6627"/>
    <w:rsid w:val="002B1915"/>
    <w:rsid w:val="002B1D7C"/>
    <w:rsid w:val="002B2F72"/>
    <w:rsid w:val="002B35A9"/>
    <w:rsid w:val="002B3FC0"/>
    <w:rsid w:val="002B463B"/>
    <w:rsid w:val="002C38F8"/>
    <w:rsid w:val="002C3B53"/>
    <w:rsid w:val="002C40E3"/>
    <w:rsid w:val="002C671A"/>
    <w:rsid w:val="002C71C0"/>
    <w:rsid w:val="002C76AD"/>
    <w:rsid w:val="002D01C8"/>
    <w:rsid w:val="002D23A1"/>
    <w:rsid w:val="002D44A0"/>
    <w:rsid w:val="002D4D07"/>
    <w:rsid w:val="002D6A9D"/>
    <w:rsid w:val="002D7C43"/>
    <w:rsid w:val="002E0128"/>
    <w:rsid w:val="002E3425"/>
    <w:rsid w:val="002E3738"/>
    <w:rsid w:val="002E3AB3"/>
    <w:rsid w:val="002E458D"/>
    <w:rsid w:val="002E5AD8"/>
    <w:rsid w:val="002E6E61"/>
    <w:rsid w:val="002F18FE"/>
    <w:rsid w:val="002F2B96"/>
    <w:rsid w:val="002F5581"/>
    <w:rsid w:val="002F575B"/>
    <w:rsid w:val="0030128F"/>
    <w:rsid w:val="00303CAE"/>
    <w:rsid w:val="0030694B"/>
    <w:rsid w:val="00306B7A"/>
    <w:rsid w:val="003104DE"/>
    <w:rsid w:val="0031223C"/>
    <w:rsid w:val="0031278E"/>
    <w:rsid w:val="00312E06"/>
    <w:rsid w:val="0031457B"/>
    <w:rsid w:val="00316AEE"/>
    <w:rsid w:val="00317704"/>
    <w:rsid w:val="00320057"/>
    <w:rsid w:val="00322529"/>
    <w:rsid w:val="00324937"/>
    <w:rsid w:val="003271A2"/>
    <w:rsid w:val="00331E58"/>
    <w:rsid w:val="003327DD"/>
    <w:rsid w:val="00332B4D"/>
    <w:rsid w:val="003333A1"/>
    <w:rsid w:val="00334383"/>
    <w:rsid w:val="003400F0"/>
    <w:rsid w:val="00340920"/>
    <w:rsid w:val="00340C6A"/>
    <w:rsid w:val="00341BB6"/>
    <w:rsid w:val="00342384"/>
    <w:rsid w:val="00344D56"/>
    <w:rsid w:val="00345280"/>
    <w:rsid w:val="003471BE"/>
    <w:rsid w:val="00350D64"/>
    <w:rsid w:val="00351C36"/>
    <w:rsid w:val="00354AFE"/>
    <w:rsid w:val="003636CF"/>
    <w:rsid w:val="0036532E"/>
    <w:rsid w:val="003668E2"/>
    <w:rsid w:val="00366A24"/>
    <w:rsid w:val="003700BB"/>
    <w:rsid w:val="00371161"/>
    <w:rsid w:val="00371550"/>
    <w:rsid w:val="00373331"/>
    <w:rsid w:val="003778B4"/>
    <w:rsid w:val="00380488"/>
    <w:rsid w:val="003828CF"/>
    <w:rsid w:val="003830DB"/>
    <w:rsid w:val="003842AF"/>
    <w:rsid w:val="00387028"/>
    <w:rsid w:val="00390A5F"/>
    <w:rsid w:val="003922EE"/>
    <w:rsid w:val="00393130"/>
    <w:rsid w:val="003932B3"/>
    <w:rsid w:val="00396CEF"/>
    <w:rsid w:val="003977D5"/>
    <w:rsid w:val="00397A2C"/>
    <w:rsid w:val="003A01D6"/>
    <w:rsid w:val="003A27E6"/>
    <w:rsid w:val="003A479B"/>
    <w:rsid w:val="003A5BE4"/>
    <w:rsid w:val="003B0934"/>
    <w:rsid w:val="003B26EE"/>
    <w:rsid w:val="003B3079"/>
    <w:rsid w:val="003C1E90"/>
    <w:rsid w:val="003C5DD3"/>
    <w:rsid w:val="003C6367"/>
    <w:rsid w:val="003C6B83"/>
    <w:rsid w:val="003D031B"/>
    <w:rsid w:val="003D1A1F"/>
    <w:rsid w:val="003D462E"/>
    <w:rsid w:val="003D59B8"/>
    <w:rsid w:val="003E1FE1"/>
    <w:rsid w:val="003E297D"/>
    <w:rsid w:val="003E345A"/>
    <w:rsid w:val="003E3936"/>
    <w:rsid w:val="003E4930"/>
    <w:rsid w:val="003E64B4"/>
    <w:rsid w:val="003F0377"/>
    <w:rsid w:val="003F6E56"/>
    <w:rsid w:val="00400708"/>
    <w:rsid w:val="00401EAB"/>
    <w:rsid w:val="0040393D"/>
    <w:rsid w:val="00403AFA"/>
    <w:rsid w:val="00405854"/>
    <w:rsid w:val="0040742C"/>
    <w:rsid w:val="00413DDF"/>
    <w:rsid w:val="00413EDB"/>
    <w:rsid w:val="0041496A"/>
    <w:rsid w:val="004155CF"/>
    <w:rsid w:val="00417FA4"/>
    <w:rsid w:val="004216D1"/>
    <w:rsid w:val="00421E2B"/>
    <w:rsid w:val="004260AD"/>
    <w:rsid w:val="00427B67"/>
    <w:rsid w:val="00427DAF"/>
    <w:rsid w:val="004314C3"/>
    <w:rsid w:val="00433600"/>
    <w:rsid w:val="00433F5F"/>
    <w:rsid w:val="004340CC"/>
    <w:rsid w:val="004450DB"/>
    <w:rsid w:val="00445F4B"/>
    <w:rsid w:val="0044673D"/>
    <w:rsid w:val="00450855"/>
    <w:rsid w:val="00452A33"/>
    <w:rsid w:val="00453B29"/>
    <w:rsid w:val="00455A91"/>
    <w:rsid w:val="0046032B"/>
    <w:rsid w:val="00460D69"/>
    <w:rsid w:val="0046222E"/>
    <w:rsid w:val="00467097"/>
    <w:rsid w:val="004707AE"/>
    <w:rsid w:val="00470D96"/>
    <w:rsid w:val="004718CE"/>
    <w:rsid w:val="0047367C"/>
    <w:rsid w:val="00475871"/>
    <w:rsid w:val="004768F8"/>
    <w:rsid w:val="00476E4A"/>
    <w:rsid w:val="00481840"/>
    <w:rsid w:val="00481EE6"/>
    <w:rsid w:val="0048623A"/>
    <w:rsid w:val="00487FD8"/>
    <w:rsid w:val="004947A6"/>
    <w:rsid w:val="00496AB9"/>
    <w:rsid w:val="004A4AF7"/>
    <w:rsid w:val="004B4B34"/>
    <w:rsid w:val="004C36F4"/>
    <w:rsid w:val="004C5040"/>
    <w:rsid w:val="004D1FA1"/>
    <w:rsid w:val="004D2A14"/>
    <w:rsid w:val="004E3075"/>
    <w:rsid w:val="004E3692"/>
    <w:rsid w:val="004E64DB"/>
    <w:rsid w:val="004E7283"/>
    <w:rsid w:val="004F03EC"/>
    <w:rsid w:val="004F1B6C"/>
    <w:rsid w:val="004F3C81"/>
    <w:rsid w:val="004F44B7"/>
    <w:rsid w:val="004F53BC"/>
    <w:rsid w:val="004F5B6B"/>
    <w:rsid w:val="004F6CB9"/>
    <w:rsid w:val="004F70FD"/>
    <w:rsid w:val="004F77E1"/>
    <w:rsid w:val="00500976"/>
    <w:rsid w:val="0050166E"/>
    <w:rsid w:val="00501807"/>
    <w:rsid w:val="005018BB"/>
    <w:rsid w:val="005114B4"/>
    <w:rsid w:val="00512F66"/>
    <w:rsid w:val="00520910"/>
    <w:rsid w:val="0052266F"/>
    <w:rsid w:val="00524B57"/>
    <w:rsid w:val="00525D7C"/>
    <w:rsid w:val="00527A90"/>
    <w:rsid w:val="00533A63"/>
    <w:rsid w:val="00534C3F"/>
    <w:rsid w:val="005355F1"/>
    <w:rsid w:val="005365E9"/>
    <w:rsid w:val="005367B2"/>
    <w:rsid w:val="00536F9B"/>
    <w:rsid w:val="00541368"/>
    <w:rsid w:val="0054137F"/>
    <w:rsid w:val="00552AE1"/>
    <w:rsid w:val="005558EC"/>
    <w:rsid w:val="0055705B"/>
    <w:rsid w:val="00557A06"/>
    <w:rsid w:val="00561542"/>
    <w:rsid w:val="00561C73"/>
    <w:rsid w:val="00564B24"/>
    <w:rsid w:val="0056630E"/>
    <w:rsid w:val="00570FFB"/>
    <w:rsid w:val="00585C24"/>
    <w:rsid w:val="00586935"/>
    <w:rsid w:val="0059164F"/>
    <w:rsid w:val="0059293B"/>
    <w:rsid w:val="00593A07"/>
    <w:rsid w:val="005944F8"/>
    <w:rsid w:val="005965EF"/>
    <w:rsid w:val="0059700E"/>
    <w:rsid w:val="005A0752"/>
    <w:rsid w:val="005A492E"/>
    <w:rsid w:val="005B09C9"/>
    <w:rsid w:val="005B355B"/>
    <w:rsid w:val="005B3CC6"/>
    <w:rsid w:val="005B6137"/>
    <w:rsid w:val="005C2589"/>
    <w:rsid w:val="005C2CBC"/>
    <w:rsid w:val="005C3D18"/>
    <w:rsid w:val="005C3E56"/>
    <w:rsid w:val="005D4389"/>
    <w:rsid w:val="005D5F9C"/>
    <w:rsid w:val="005D7003"/>
    <w:rsid w:val="005E2978"/>
    <w:rsid w:val="005E6A7F"/>
    <w:rsid w:val="005E7378"/>
    <w:rsid w:val="005E7855"/>
    <w:rsid w:val="005F0B37"/>
    <w:rsid w:val="005F1D26"/>
    <w:rsid w:val="005F2018"/>
    <w:rsid w:val="005F4D45"/>
    <w:rsid w:val="005F6315"/>
    <w:rsid w:val="00600BAA"/>
    <w:rsid w:val="00603E95"/>
    <w:rsid w:val="00605517"/>
    <w:rsid w:val="006077DB"/>
    <w:rsid w:val="00607E5C"/>
    <w:rsid w:val="0061062A"/>
    <w:rsid w:val="006114ED"/>
    <w:rsid w:val="0061258E"/>
    <w:rsid w:val="00612985"/>
    <w:rsid w:val="00613054"/>
    <w:rsid w:val="00613C90"/>
    <w:rsid w:val="0061505F"/>
    <w:rsid w:val="006150A2"/>
    <w:rsid w:val="0061762F"/>
    <w:rsid w:val="00620E0B"/>
    <w:rsid w:val="00630119"/>
    <w:rsid w:val="00636B3D"/>
    <w:rsid w:val="006422BB"/>
    <w:rsid w:val="00642BDF"/>
    <w:rsid w:val="00642E69"/>
    <w:rsid w:val="00643F46"/>
    <w:rsid w:val="0064405E"/>
    <w:rsid w:val="00645142"/>
    <w:rsid w:val="006452D1"/>
    <w:rsid w:val="0065474D"/>
    <w:rsid w:val="0065646C"/>
    <w:rsid w:val="00662829"/>
    <w:rsid w:val="0066320F"/>
    <w:rsid w:val="006651EE"/>
    <w:rsid w:val="006666BF"/>
    <w:rsid w:val="0067198E"/>
    <w:rsid w:val="0067237C"/>
    <w:rsid w:val="0067527E"/>
    <w:rsid w:val="006759CF"/>
    <w:rsid w:val="006772F7"/>
    <w:rsid w:val="0068315F"/>
    <w:rsid w:val="00683F49"/>
    <w:rsid w:val="0068550D"/>
    <w:rsid w:val="00685E77"/>
    <w:rsid w:val="00686B40"/>
    <w:rsid w:val="00686CFA"/>
    <w:rsid w:val="006878B4"/>
    <w:rsid w:val="00690FB6"/>
    <w:rsid w:val="006925D7"/>
    <w:rsid w:val="006A0DA8"/>
    <w:rsid w:val="006A32C5"/>
    <w:rsid w:val="006A3477"/>
    <w:rsid w:val="006A35B2"/>
    <w:rsid w:val="006A4314"/>
    <w:rsid w:val="006A580B"/>
    <w:rsid w:val="006A7F92"/>
    <w:rsid w:val="006B0F6E"/>
    <w:rsid w:val="006B4A05"/>
    <w:rsid w:val="006B77A2"/>
    <w:rsid w:val="006C134F"/>
    <w:rsid w:val="006C533C"/>
    <w:rsid w:val="006C5C9A"/>
    <w:rsid w:val="006C6274"/>
    <w:rsid w:val="006C77E2"/>
    <w:rsid w:val="006D0D73"/>
    <w:rsid w:val="006D36E8"/>
    <w:rsid w:val="006D5AEE"/>
    <w:rsid w:val="006D5F4A"/>
    <w:rsid w:val="006E2C7F"/>
    <w:rsid w:val="006E3A6F"/>
    <w:rsid w:val="006E3AAA"/>
    <w:rsid w:val="006E7A2C"/>
    <w:rsid w:val="006F0298"/>
    <w:rsid w:val="006F2170"/>
    <w:rsid w:val="006F62B3"/>
    <w:rsid w:val="00701797"/>
    <w:rsid w:val="0070674C"/>
    <w:rsid w:val="0070783E"/>
    <w:rsid w:val="00707FCF"/>
    <w:rsid w:val="00713EE1"/>
    <w:rsid w:val="00721847"/>
    <w:rsid w:val="00722EA1"/>
    <w:rsid w:val="007252ED"/>
    <w:rsid w:val="0072615F"/>
    <w:rsid w:val="00726530"/>
    <w:rsid w:val="00727EDF"/>
    <w:rsid w:val="00730147"/>
    <w:rsid w:val="0073043F"/>
    <w:rsid w:val="007321B6"/>
    <w:rsid w:val="00732701"/>
    <w:rsid w:val="00735EF7"/>
    <w:rsid w:val="00741955"/>
    <w:rsid w:val="00742688"/>
    <w:rsid w:val="007432FB"/>
    <w:rsid w:val="00750226"/>
    <w:rsid w:val="007507AC"/>
    <w:rsid w:val="007561F3"/>
    <w:rsid w:val="00756DD5"/>
    <w:rsid w:val="00756F97"/>
    <w:rsid w:val="00757B2B"/>
    <w:rsid w:val="00763162"/>
    <w:rsid w:val="00770BAE"/>
    <w:rsid w:val="00775779"/>
    <w:rsid w:val="007759D2"/>
    <w:rsid w:val="007762CB"/>
    <w:rsid w:val="00780B18"/>
    <w:rsid w:val="00780E8D"/>
    <w:rsid w:val="00783DFF"/>
    <w:rsid w:val="007848E4"/>
    <w:rsid w:val="007849A4"/>
    <w:rsid w:val="00785FD4"/>
    <w:rsid w:val="007879E1"/>
    <w:rsid w:val="00791AC5"/>
    <w:rsid w:val="00794697"/>
    <w:rsid w:val="00794A5A"/>
    <w:rsid w:val="00794C28"/>
    <w:rsid w:val="00795E25"/>
    <w:rsid w:val="0079607D"/>
    <w:rsid w:val="00796998"/>
    <w:rsid w:val="00796BF4"/>
    <w:rsid w:val="00796C4C"/>
    <w:rsid w:val="00797393"/>
    <w:rsid w:val="007A0AD5"/>
    <w:rsid w:val="007A7599"/>
    <w:rsid w:val="007A7843"/>
    <w:rsid w:val="007B1A90"/>
    <w:rsid w:val="007B239F"/>
    <w:rsid w:val="007B35F4"/>
    <w:rsid w:val="007C09E3"/>
    <w:rsid w:val="007C1644"/>
    <w:rsid w:val="007C5B27"/>
    <w:rsid w:val="007D3697"/>
    <w:rsid w:val="007D5530"/>
    <w:rsid w:val="007E08C1"/>
    <w:rsid w:val="007E1B30"/>
    <w:rsid w:val="007E29EC"/>
    <w:rsid w:val="007E3A82"/>
    <w:rsid w:val="007E3B1C"/>
    <w:rsid w:val="007E3E05"/>
    <w:rsid w:val="007E532E"/>
    <w:rsid w:val="007E7D03"/>
    <w:rsid w:val="007F0530"/>
    <w:rsid w:val="007F29F3"/>
    <w:rsid w:val="007F3E8F"/>
    <w:rsid w:val="007F5F8D"/>
    <w:rsid w:val="00801DA6"/>
    <w:rsid w:val="00803F0D"/>
    <w:rsid w:val="00805A45"/>
    <w:rsid w:val="0080797E"/>
    <w:rsid w:val="0081029B"/>
    <w:rsid w:val="008123CB"/>
    <w:rsid w:val="00813C4D"/>
    <w:rsid w:val="00814934"/>
    <w:rsid w:val="00821B4E"/>
    <w:rsid w:val="00822BD4"/>
    <w:rsid w:val="008256F0"/>
    <w:rsid w:val="00825E97"/>
    <w:rsid w:val="00830D7E"/>
    <w:rsid w:val="00831AB6"/>
    <w:rsid w:val="0083713B"/>
    <w:rsid w:val="00840813"/>
    <w:rsid w:val="008431EF"/>
    <w:rsid w:val="00843C56"/>
    <w:rsid w:val="00844301"/>
    <w:rsid w:val="00845383"/>
    <w:rsid w:val="00847819"/>
    <w:rsid w:val="008502C8"/>
    <w:rsid w:val="00851A51"/>
    <w:rsid w:val="008546D3"/>
    <w:rsid w:val="00855746"/>
    <w:rsid w:val="008571C5"/>
    <w:rsid w:val="008573D6"/>
    <w:rsid w:val="00857FC8"/>
    <w:rsid w:val="00864117"/>
    <w:rsid w:val="00865FD6"/>
    <w:rsid w:val="00867A58"/>
    <w:rsid w:val="00867CBF"/>
    <w:rsid w:val="00872779"/>
    <w:rsid w:val="0087280A"/>
    <w:rsid w:val="0087372B"/>
    <w:rsid w:val="00877C6A"/>
    <w:rsid w:val="008816F2"/>
    <w:rsid w:val="00882DF2"/>
    <w:rsid w:val="008866B6"/>
    <w:rsid w:val="00886BD6"/>
    <w:rsid w:val="008925B2"/>
    <w:rsid w:val="00893D44"/>
    <w:rsid w:val="00894E22"/>
    <w:rsid w:val="00897AC0"/>
    <w:rsid w:val="008A025A"/>
    <w:rsid w:val="008A087B"/>
    <w:rsid w:val="008A1535"/>
    <w:rsid w:val="008A2362"/>
    <w:rsid w:val="008A253A"/>
    <w:rsid w:val="008A5E5A"/>
    <w:rsid w:val="008A6029"/>
    <w:rsid w:val="008A6DF3"/>
    <w:rsid w:val="008B0334"/>
    <w:rsid w:val="008B106C"/>
    <w:rsid w:val="008B1722"/>
    <w:rsid w:val="008B20CC"/>
    <w:rsid w:val="008B3B12"/>
    <w:rsid w:val="008C1B20"/>
    <w:rsid w:val="008C3E56"/>
    <w:rsid w:val="008D1E5C"/>
    <w:rsid w:val="008D269E"/>
    <w:rsid w:val="008D42BB"/>
    <w:rsid w:val="008E1ABD"/>
    <w:rsid w:val="008E261B"/>
    <w:rsid w:val="008E3A89"/>
    <w:rsid w:val="008E4E0B"/>
    <w:rsid w:val="008E4EB4"/>
    <w:rsid w:val="008E5DD5"/>
    <w:rsid w:val="008E7374"/>
    <w:rsid w:val="008E7B9D"/>
    <w:rsid w:val="008F201F"/>
    <w:rsid w:val="008F2CA0"/>
    <w:rsid w:val="008F378F"/>
    <w:rsid w:val="008F3C1F"/>
    <w:rsid w:val="008F484C"/>
    <w:rsid w:val="008F4D9B"/>
    <w:rsid w:val="008F661D"/>
    <w:rsid w:val="00900372"/>
    <w:rsid w:val="009005E6"/>
    <w:rsid w:val="00902B5C"/>
    <w:rsid w:val="00910424"/>
    <w:rsid w:val="009133EC"/>
    <w:rsid w:val="00914F48"/>
    <w:rsid w:val="0091514E"/>
    <w:rsid w:val="00915F2E"/>
    <w:rsid w:val="00916A0E"/>
    <w:rsid w:val="00922A89"/>
    <w:rsid w:val="00924661"/>
    <w:rsid w:val="0092488F"/>
    <w:rsid w:val="0092564C"/>
    <w:rsid w:val="00926782"/>
    <w:rsid w:val="0092684E"/>
    <w:rsid w:val="00926F73"/>
    <w:rsid w:val="009301C9"/>
    <w:rsid w:val="00931A4A"/>
    <w:rsid w:val="009321D1"/>
    <w:rsid w:val="009332E5"/>
    <w:rsid w:val="00934CB6"/>
    <w:rsid w:val="009357D0"/>
    <w:rsid w:val="009371FB"/>
    <w:rsid w:val="00941177"/>
    <w:rsid w:val="00941179"/>
    <w:rsid w:val="00950437"/>
    <w:rsid w:val="00952D92"/>
    <w:rsid w:val="00953B98"/>
    <w:rsid w:val="00953E89"/>
    <w:rsid w:val="00954C59"/>
    <w:rsid w:val="00954D3D"/>
    <w:rsid w:val="00957BAC"/>
    <w:rsid w:val="00960250"/>
    <w:rsid w:val="00960A33"/>
    <w:rsid w:val="009614CD"/>
    <w:rsid w:val="009616B9"/>
    <w:rsid w:val="00963766"/>
    <w:rsid w:val="00964B99"/>
    <w:rsid w:val="00965CA4"/>
    <w:rsid w:val="00966486"/>
    <w:rsid w:val="0097065B"/>
    <w:rsid w:val="0097116B"/>
    <w:rsid w:val="00973121"/>
    <w:rsid w:val="009802D4"/>
    <w:rsid w:val="009806C3"/>
    <w:rsid w:val="00982A3B"/>
    <w:rsid w:val="00987EB3"/>
    <w:rsid w:val="009914DB"/>
    <w:rsid w:val="00992A41"/>
    <w:rsid w:val="009934EE"/>
    <w:rsid w:val="0099395D"/>
    <w:rsid w:val="0099768A"/>
    <w:rsid w:val="009A00C7"/>
    <w:rsid w:val="009A371D"/>
    <w:rsid w:val="009A3BB2"/>
    <w:rsid w:val="009A3E43"/>
    <w:rsid w:val="009A5FC8"/>
    <w:rsid w:val="009A6CB1"/>
    <w:rsid w:val="009A6E2E"/>
    <w:rsid w:val="009B090E"/>
    <w:rsid w:val="009B147E"/>
    <w:rsid w:val="009B371D"/>
    <w:rsid w:val="009B38C6"/>
    <w:rsid w:val="009B72D5"/>
    <w:rsid w:val="009C084F"/>
    <w:rsid w:val="009C0C88"/>
    <w:rsid w:val="009C1BDD"/>
    <w:rsid w:val="009C2D28"/>
    <w:rsid w:val="009C5A8B"/>
    <w:rsid w:val="009D17D5"/>
    <w:rsid w:val="009D49D3"/>
    <w:rsid w:val="009D4B99"/>
    <w:rsid w:val="009D4F4E"/>
    <w:rsid w:val="009E1ECF"/>
    <w:rsid w:val="009F3383"/>
    <w:rsid w:val="009F36E1"/>
    <w:rsid w:val="009F3BBB"/>
    <w:rsid w:val="009F6287"/>
    <w:rsid w:val="00A002D0"/>
    <w:rsid w:val="00A02863"/>
    <w:rsid w:val="00A02923"/>
    <w:rsid w:val="00A0458F"/>
    <w:rsid w:val="00A11027"/>
    <w:rsid w:val="00A11C86"/>
    <w:rsid w:val="00A1780C"/>
    <w:rsid w:val="00A20E62"/>
    <w:rsid w:val="00A213CF"/>
    <w:rsid w:val="00A230D2"/>
    <w:rsid w:val="00A23B37"/>
    <w:rsid w:val="00A26544"/>
    <w:rsid w:val="00A35D24"/>
    <w:rsid w:val="00A4123C"/>
    <w:rsid w:val="00A41EA1"/>
    <w:rsid w:val="00A42550"/>
    <w:rsid w:val="00A45183"/>
    <w:rsid w:val="00A46227"/>
    <w:rsid w:val="00A471B8"/>
    <w:rsid w:val="00A54959"/>
    <w:rsid w:val="00A54CBF"/>
    <w:rsid w:val="00A57E2C"/>
    <w:rsid w:val="00A60D3B"/>
    <w:rsid w:val="00A6153E"/>
    <w:rsid w:val="00A70DA4"/>
    <w:rsid w:val="00A70DC5"/>
    <w:rsid w:val="00A7202A"/>
    <w:rsid w:val="00A8113C"/>
    <w:rsid w:val="00A87924"/>
    <w:rsid w:val="00A87BF0"/>
    <w:rsid w:val="00A9050A"/>
    <w:rsid w:val="00A91B57"/>
    <w:rsid w:val="00A9355A"/>
    <w:rsid w:val="00A965C2"/>
    <w:rsid w:val="00A96A4A"/>
    <w:rsid w:val="00A97193"/>
    <w:rsid w:val="00A97EE1"/>
    <w:rsid w:val="00AA2B5F"/>
    <w:rsid w:val="00AA36DE"/>
    <w:rsid w:val="00AA4C6A"/>
    <w:rsid w:val="00AA55FA"/>
    <w:rsid w:val="00AB089E"/>
    <w:rsid w:val="00AB1A18"/>
    <w:rsid w:val="00AB277D"/>
    <w:rsid w:val="00AB3054"/>
    <w:rsid w:val="00AC5D17"/>
    <w:rsid w:val="00AC5FEE"/>
    <w:rsid w:val="00AC7294"/>
    <w:rsid w:val="00AC7398"/>
    <w:rsid w:val="00AD0337"/>
    <w:rsid w:val="00AD0648"/>
    <w:rsid w:val="00AD38C2"/>
    <w:rsid w:val="00AD45D3"/>
    <w:rsid w:val="00AD4A51"/>
    <w:rsid w:val="00AD4F88"/>
    <w:rsid w:val="00AE1957"/>
    <w:rsid w:val="00AE19EC"/>
    <w:rsid w:val="00AE1F9A"/>
    <w:rsid w:val="00AE3372"/>
    <w:rsid w:val="00AE41D4"/>
    <w:rsid w:val="00AE590C"/>
    <w:rsid w:val="00AF0BE7"/>
    <w:rsid w:val="00AF0C2E"/>
    <w:rsid w:val="00AF2C50"/>
    <w:rsid w:val="00AF5B78"/>
    <w:rsid w:val="00B01989"/>
    <w:rsid w:val="00B01B63"/>
    <w:rsid w:val="00B046B4"/>
    <w:rsid w:val="00B05296"/>
    <w:rsid w:val="00B12068"/>
    <w:rsid w:val="00B14232"/>
    <w:rsid w:val="00B17FB8"/>
    <w:rsid w:val="00B23386"/>
    <w:rsid w:val="00B255E0"/>
    <w:rsid w:val="00B25A4E"/>
    <w:rsid w:val="00B25E4A"/>
    <w:rsid w:val="00B2600B"/>
    <w:rsid w:val="00B27C79"/>
    <w:rsid w:val="00B302A4"/>
    <w:rsid w:val="00B30D5A"/>
    <w:rsid w:val="00B34CFF"/>
    <w:rsid w:val="00B36787"/>
    <w:rsid w:val="00B37852"/>
    <w:rsid w:val="00B408BF"/>
    <w:rsid w:val="00B464E2"/>
    <w:rsid w:val="00B4665E"/>
    <w:rsid w:val="00B47184"/>
    <w:rsid w:val="00B4744E"/>
    <w:rsid w:val="00B47AA1"/>
    <w:rsid w:val="00B50E67"/>
    <w:rsid w:val="00B52CD9"/>
    <w:rsid w:val="00B53E40"/>
    <w:rsid w:val="00B5518C"/>
    <w:rsid w:val="00B555CB"/>
    <w:rsid w:val="00B608CB"/>
    <w:rsid w:val="00B61A6E"/>
    <w:rsid w:val="00B621B0"/>
    <w:rsid w:val="00B64153"/>
    <w:rsid w:val="00B6661F"/>
    <w:rsid w:val="00B66AB2"/>
    <w:rsid w:val="00B74B06"/>
    <w:rsid w:val="00B75CD9"/>
    <w:rsid w:val="00B7608B"/>
    <w:rsid w:val="00B7690E"/>
    <w:rsid w:val="00B7773B"/>
    <w:rsid w:val="00B77A57"/>
    <w:rsid w:val="00B820AC"/>
    <w:rsid w:val="00B901C4"/>
    <w:rsid w:val="00B90945"/>
    <w:rsid w:val="00B918F5"/>
    <w:rsid w:val="00B926EE"/>
    <w:rsid w:val="00B93F69"/>
    <w:rsid w:val="00B94428"/>
    <w:rsid w:val="00B94A27"/>
    <w:rsid w:val="00B9666D"/>
    <w:rsid w:val="00BA0BA8"/>
    <w:rsid w:val="00BA39E3"/>
    <w:rsid w:val="00BA5547"/>
    <w:rsid w:val="00BA7AF1"/>
    <w:rsid w:val="00BA7CBF"/>
    <w:rsid w:val="00BB2031"/>
    <w:rsid w:val="00BB2BE9"/>
    <w:rsid w:val="00BB7911"/>
    <w:rsid w:val="00BC19C5"/>
    <w:rsid w:val="00BC4D59"/>
    <w:rsid w:val="00BD375B"/>
    <w:rsid w:val="00BD3D25"/>
    <w:rsid w:val="00BD6111"/>
    <w:rsid w:val="00BD6529"/>
    <w:rsid w:val="00BE003E"/>
    <w:rsid w:val="00BE01D9"/>
    <w:rsid w:val="00BE4D30"/>
    <w:rsid w:val="00BF274F"/>
    <w:rsid w:val="00BF3014"/>
    <w:rsid w:val="00BF589E"/>
    <w:rsid w:val="00BF7E91"/>
    <w:rsid w:val="00C01484"/>
    <w:rsid w:val="00C04B3A"/>
    <w:rsid w:val="00C04D2F"/>
    <w:rsid w:val="00C0647D"/>
    <w:rsid w:val="00C065BC"/>
    <w:rsid w:val="00C112B0"/>
    <w:rsid w:val="00C20225"/>
    <w:rsid w:val="00C23CCD"/>
    <w:rsid w:val="00C24829"/>
    <w:rsid w:val="00C26515"/>
    <w:rsid w:val="00C26A3B"/>
    <w:rsid w:val="00C276FF"/>
    <w:rsid w:val="00C35643"/>
    <w:rsid w:val="00C36D52"/>
    <w:rsid w:val="00C37BDA"/>
    <w:rsid w:val="00C40432"/>
    <w:rsid w:val="00C40904"/>
    <w:rsid w:val="00C44ABD"/>
    <w:rsid w:val="00C45996"/>
    <w:rsid w:val="00C45D61"/>
    <w:rsid w:val="00C46A3F"/>
    <w:rsid w:val="00C52C56"/>
    <w:rsid w:val="00C531B1"/>
    <w:rsid w:val="00C5451F"/>
    <w:rsid w:val="00C553F7"/>
    <w:rsid w:val="00C554B1"/>
    <w:rsid w:val="00C607B4"/>
    <w:rsid w:val="00C608F1"/>
    <w:rsid w:val="00C61908"/>
    <w:rsid w:val="00C62198"/>
    <w:rsid w:val="00C629A8"/>
    <w:rsid w:val="00C64890"/>
    <w:rsid w:val="00C659A8"/>
    <w:rsid w:val="00C66817"/>
    <w:rsid w:val="00C6769C"/>
    <w:rsid w:val="00C715FB"/>
    <w:rsid w:val="00C729A2"/>
    <w:rsid w:val="00C72FF3"/>
    <w:rsid w:val="00C73ECB"/>
    <w:rsid w:val="00C75155"/>
    <w:rsid w:val="00C772F2"/>
    <w:rsid w:val="00C773B2"/>
    <w:rsid w:val="00C77CFB"/>
    <w:rsid w:val="00C809BA"/>
    <w:rsid w:val="00C8184A"/>
    <w:rsid w:val="00C822E7"/>
    <w:rsid w:val="00C833B7"/>
    <w:rsid w:val="00C83450"/>
    <w:rsid w:val="00C8578F"/>
    <w:rsid w:val="00C87708"/>
    <w:rsid w:val="00C921AE"/>
    <w:rsid w:val="00C95F97"/>
    <w:rsid w:val="00C964ED"/>
    <w:rsid w:val="00CA1B2F"/>
    <w:rsid w:val="00CA497E"/>
    <w:rsid w:val="00CA4D5D"/>
    <w:rsid w:val="00CA5F87"/>
    <w:rsid w:val="00CA70AE"/>
    <w:rsid w:val="00CA71B0"/>
    <w:rsid w:val="00CB409B"/>
    <w:rsid w:val="00CB53F0"/>
    <w:rsid w:val="00CB54AB"/>
    <w:rsid w:val="00CB5AA0"/>
    <w:rsid w:val="00CB7D1C"/>
    <w:rsid w:val="00CC01B6"/>
    <w:rsid w:val="00CC3173"/>
    <w:rsid w:val="00CC39A0"/>
    <w:rsid w:val="00CC3D26"/>
    <w:rsid w:val="00CC3F88"/>
    <w:rsid w:val="00CC5C32"/>
    <w:rsid w:val="00CC6FDA"/>
    <w:rsid w:val="00CC78C5"/>
    <w:rsid w:val="00CC7D0B"/>
    <w:rsid w:val="00CD0EB2"/>
    <w:rsid w:val="00CD1903"/>
    <w:rsid w:val="00CD572E"/>
    <w:rsid w:val="00CD5F52"/>
    <w:rsid w:val="00CD7094"/>
    <w:rsid w:val="00CE14C5"/>
    <w:rsid w:val="00CE18F0"/>
    <w:rsid w:val="00CE27D1"/>
    <w:rsid w:val="00CE49F1"/>
    <w:rsid w:val="00CE4C3C"/>
    <w:rsid w:val="00CE56BA"/>
    <w:rsid w:val="00CE67C4"/>
    <w:rsid w:val="00CE7072"/>
    <w:rsid w:val="00CE70BB"/>
    <w:rsid w:val="00CF1818"/>
    <w:rsid w:val="00CF52F7"/>
    <w:rsid w:val="00CF5B23"/>
    <w:rsid w:val="00D01D7C"/>
    <w:rsid w:val="00D03603"/>
    <w:rsid w:val="00D06495"/>
    <w:rsid w:val="00D07A2D"/>
    <w:rsid w:val="00D07F39"/>
    <w:rsid w:val="00D13E45"/>
    <w:rsid w:val="00D211B1"/>
    <w:rsid w:val="00D21392"/>
    <w:rsid w:val="00D24EE8"/>
    <w:rsid w:val="00D25DF4"/>
    <w:rsid w:val="00D26493"/>
    <w:rsid w:val="00D27996"/>
    <w:rsid w:val="00D334C7"/>
    <w:rsid w:val="00D376FD"/>
    <w:rsid w:val="00D41929"/>
    <w:rsid w:val="00D4642E"/>
    <w:rsid w:val="00D56654"/>
    <w:rsid w:val="00D603D7"/>
    <w:rsid w:val="00D60C64"/>
    <w:rsid w:val="00D63BB7"/>
    <w:rsid w:val="00D64E87"/>
    <w:rsid w:val="00D65F62"/>
    <w:rsid w:val="00D674C5"/>
    <w:rsid w:val="00D7007F"/>
    <w:rsid w:val="00D70D03"/>
    <w:rsid w:val="00D719F5"/>
    <w:rsid w:val="00D854FD"/>
    <w:rsid w:val="00D8730D"/>
    <w:rsid w:val="00D934B5"/>
    <w:rsid w:val="00D93D96"/>
    <w:rsid w:val="00D94152"/>
    <w:rsid w:val="00D973DA"/>
    <w:rsid w:val="00DA0940"/>
    <w:rsid w:val="00DA2FA5"/>
    <w:rsid w:val="00DA459F"/>
    <w:rsid w:val="00DA5A2B"/>
    <w:rsid w:val="00DA6D56"/>
    <w:rsid w:val="00DB1970"/>
    <w:rsid w:val="00DB745C"/>
    <w:rsid w:val="00DC2D05"/>
    <w:rsid w:val="00DC2D23"/>
    <w:rsid w:val="00DC2EB5"/>
    <w:rsid w:val="00DC30DC"/>
    <w:rsid w:val="00DC438C"/>
    <w:rsid w:val="00DC5491"/>
    <w:rsid w:val="00DD057B"/>
    <w:rsid w:val="00DD0AD6"/>
    <w:rsid w:val="00DD2FAF"/>
    <w:rsid w:val="00DD4D38"/>
    <w:rsid w:val="00DD4FFC"/>
    <w:rsid w:val="00DE1405"/>
    <w:rsid w:val="00DE224B"/>
    <w:rsid w:val="00DE26BA"/>
    <w:rsid w:val="00DE49DC"/>
    <w:rsid w:val="00DE5418"/>
    <w:rsid w:val="00DE7553"/>
    <w:rsid w:val="00DF0A19"/>
    <w:rsid w:val="00DF0B0C"/>
    <w:rsid w:val="00DF1586"/>
    <w:rsid w:val="00DF1A32"/>
    <w:rsid w:val="00DF1E7D"/>
    <w:rsid w:val="00DF2C83"/>
    <w:rsid w:val="00DF6965"/>
    <w:rsid w:val="00E017F5"/>
    <w:rsid w:val="00E02151"/>
    <w:rsid w:val="00E03E5D"/>
    <w:rsid w:val="00E07F2D"/>
    <w:rsid w:val="00E1021D"/>
    <w:rsid w:val="00E11B3A"/>
    <w:rsid w:val="00E12902"/>
    <w:rsid w:val="00E163A4"/>
    <w:rsid w:val="00E20985"/>
    <w:rsid w:val="00E212D6"/>
    <w:rsid w:val="00E261F8"/>
    <w:rsid w:val="00E266B8"/>
    <w:rsid w:val="00E26CD1"/>
    <w:rsid w:val="00E30BCB"/>
    <w:rsid w:val="00E31901"/>
    <w:rsid w:val="00E32B4D"/>
    <w:rsid w:val="00E335EC"/>
    <w:rsid w:val="00E3560F"/>
    <w:rsid w:val="00E405C7"/>
    <w:rsid w:val="00E40AD3"/>
    <w:rsid w:val="00E45F56"/>
    <w:rsid w:val="00E4673B"/>
    <w:rsid w:val="00E504F9"/>
    <w:rsid w:val="00E50D4D"/>
    <w:rsid w:val="00E5101F"/>
    <w:rsid w:val="00E529D9"/>
    <w:rsid w:val="00E564C4"/>
    <w:rsid w:val="00E575E3"/>
    <w:rsid w:val="00E632AE"/>
    <w:rsid w:val="00E63D7D"/>
    <w:rsid w:val="00E70D03"/>
    <w:rsid w:val="00E73122"/>
    <w:rsid w:val="00E733F9"/>
    <w:rsid w:val="00E769D9"/>
    <w:rsid w:val="00E76AB6"/>
    <w:rsid w:val="00E76B68"/>
    <w:rsid w:val="00E8070C"/>
    <w:rsid w:val="00E81F22"/>
    <w:rsid w:val="00E83391"/>
    <w:rsid w:val="00E83F20"/>
    <w:rsid w:val="00E8430F"/>
    <w:rsid w:val="00E86370"/>
    <w:rsid w:val="00E877B2"/>
    <w:rsid w:val="00E96C17"/>
    <w:rsid w:val="00EA042A"/>
    <w:rsid w:val="00EA1050"/>
    <w:rsid w:val="00EA67B4"/>
    <w:rsid w:val="00EA73B8"/>
    <w:rsid w:val="00EB1A24"/>
    <w:rsid w:val="00EB246D"/>
    <w:rsid w:val="00EB3078"/>
    <w:rsid w:val="00EB7C3B"/>
    <w:rsid w:val="00EC0D85"/>
    <w:rsid w:val="00EC32F2"/>
    <w:rsid w:val="00EC5806"/>
    <w:rsid w:val="00EC6FDC"/>
    <w:rsid w:val="00EC7A99"/>
    <w:rsid w:val="00EC7C6B"/>
    <w:rsid w:val="00ED0506"/>
    <w:rsid w:val="00ED4376"/>
    <w:rsid w:val="00EE2280"/>
    <w:rsid w:val="00EE3027"/>
    <w:rsid w:val="00EE437E"/>
    <w:rsid w:val="00EF082D"/>
    <w:rsid w:val="00EF440E"/>
    <w:rsid w:val="00F001A8"/>
    <w:rsid w:val="00F01185"/>
    <w:rsid w:val="00F02CBD"/>
    <w:rsid w:val="00F039BD"/>
    <w:rsid w:val="00F042E9"/>
    <w:rsid w:val="00F05037"/>
    <w:rsid w:val="00F053F6"/>
    <w:rsid w:val="00F05D70"/>
    <w:rsid w:val="00F05E61"/>
    <w:rsid w:val="00F11619"/>
    <w:rsid w:val="00F1267F"/>
    <w:rsid w:val="00F12A66"/>
    <w:rsid w:val="00F13CFA"/>
    <w:rsid w:val="00F21105"/>
    <w:rsid w:val="00F2115F"/>
    <w:rsid w:val="00F2324C"/>
    <w:rsid w:val="00F26740"/>
    <w:rsid w:val="00F2708C"/>
    <w:rsid w:val="00F274EE"/>
    <w:rsid w:val="00F276A0"/>
    <w:rsid w:val="00F30F00"/>
    <w:rsid w:val="00F3173E"/>
    <w:rsid w:val="00F32287"/>
    <w:rsid w:val="00F33A2A"/>
    <w:rsid w:val="00F33BD5"/>
    <w:rsid w:val="00F35168"/>
    <w:rsid w:val="00F35307"/>
    <w:rsid w:val="00F35422"/>
    <w:rsid w:val="00F379C0"/>
    <w:rsid w:val="00F404E3"/>
    <w:rsid w:val="00F40A4D"/>
    <w:rsid w:val="00F411A3"/>
    <w:rsid w:val="00F41FEF"/>
    <w:rsid w:val="00F423A0"/>
    <w:rsid w:val="00F4532C"/>
    <w:rsid w:val="00F456DC"/>
    <w:rsid w:val="00F45D26"/>
    <w:rsid w:val="00F467EA"/>
    <w:rsid w:val="00F50BB8"/>
    <w:rsid w:val="00F6184B"/>
    <w:rsid w:val="00F6540B"/>
    <w:rsid w:val="00F7140E"/>
    <w:rsid w:val="00F71840"/>
    <w:rsid w:val="00F73EF1"/>
    <w:rsid w:val="00F76B7E"/>
    <w:rsid w:val="00F7753E"/>
    <w:rsid w:val="00F8010E"/>
    <w:rsid w:val="00F80A37"/>
    <w:rsid w:val="00F82A65"/>
    <w:rsid w:val="00F91685"/>
    <w:rsid w:val="00F9739B"/>
    <w:rsid w:val="00FA30A5"/>
    <w:rsid w:val="00FA3E25"/>
    <w:rsid w:val="00FA65A0"/>
    <w:rsid w:val="00FA7066"/>
    <w:rsid w:val="00FA7325"/>
    <w:rsid w:val="00FA7812"/>
    <w:rsid w:val="00FB093E"/>
    <w:rsid w:val="00FB16A8"/>
    <w:rsid w:val="00FB19C7"/>
    <w:rsid w:val="00FB31BB"/>
    <w:rsid w:val="00FB5A3E"/>
    <w:rsid w:val="00FB6E09"/>
    <w:rsid w:val="00FB7A20"/>
    <w:rsid w:val="00FC05F1"/>
    <w:rsid w:val="00FC3AC7"/>
    <w:rsid w:val="00FC7783"/>
    <w:rsid w:val="00FD1C27"/>
    <w:rsid w:val="00FD1F99"/>
    <w:rsid w:val="00FD3D50"/>
    <w:rsid w:val="00FD7BBF"/>
    <w:rsid w:val="00FE224A"/>
    <w:rsid w:val="00FE5D6B"/>
    <w:rsid w:val="00FF38C0"/>
    <w:rsid w:val="00FF4FB3"/>
    <w:rsid w:val="00FF55FA"/>
    <w:rsid w:val="05BD667A"/>
    <w:rsid w:val="07DF0216"/>
    <w:rsid w:val="1C016EFF"/>
    <w:rsid w:val="25637566"/>
    <w:rsid w:val="3A572A48"/>
    <w:rsid w:val="48E12910"/>
    <w:rsid w:val="4B7A7462"/>
    <w:rsid w:val="4CAE3FDC"/>
    <w:rsid w:val="54653303"/>
    <w:rsid w:val="55996854"/>
    <w:rsid w:val="58EF3777"/>
    <w:rsid w:val="5DB501CC"/>
    <w:rsid w:val="60D80CEE"/>
    <w:rsid w:val="684D2E2F"/>
    <w:rsid w:val="71F64B04"/>
    <w:rsid w:val="73985535"/>
    <w:rsid w:val="7B66448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0"/>
    <w:pPr>
      <w:keepNext/>
      <w:keepLines/>
      <w:spacing w:before="60" w:after="60" w:line="360" w:lineRule="auto"/>
      <w:ind w:firstLine="200" w:firstLineChars="200"/>
      <w:outlineLvl w:val="2"/>
    </w:pPr>
    <w:rPr>
      <w:rFonts w:ascii="楷体" w:hAnsi="楷体" w:eastAsia="楷体"/>
      <w:b/>
      <w:bCs/>
      <w:sz w:val="30"/>
      <w:szCs w:val="30"/>
    </w:rPr>
  </w:style>
  <w:style w:type="character" w:default="1" w:styleId="19">
    <w:name w:val="Default Paragraph Font"/>
    <w:semiHidden/>
    <w:uiPriority w:val="0"/>
  </w:style>
  <w:style w:type="table" w:default="1" w:styleId="17">
    <w:name w:val="Normal Table"/>
    <w:semiHidden/>
    <w:uiPriority w:val="0"/>
    <w:tblPr>
      <w:tblStyle w:val="17"/>
      <w:tblCellMar>
        <w:top w:w="0" w:type="dxa"/>
        <w:left w:w="108" w:type="dxa"/>
        <w:bottom w:w="0" w:type="dxa"/>
        <w:right w:w="108" w:type="dxa"/>
      </w:tblCellMar>
    </w:tblPr>
  </w:style>
  <w:style w:type="paragraph" w:styleId="5">
    <w:name w:val="annotation text"/>
    <w:basedOn w:val="1"/>
    <w:semiHidden/>
    <w:uiPriority w:val="0"/>
    <w:pPr>
      <w:jc w:val="left"/>
    </w:pPr>
  </w:style>
  <w:style w:type="paragraph" w:styleId="6">
    <w:name w:val="Body Text Indent"/>
    <w:basedOn w:val="1"/>
    <w:link w:val="34"/>
    <w:uiPriority w:val="0"/>
    <w:pPr>
      <w:ind w:firstLine="640" w:firstLineChars="200"/>
    </w:pPr>
    <w:rPr>
      <w:sz w:val="24"/>
    </w:rPr>
  </w:style>
  <w:style w:type="paragraph" w:styleId="7">
    <w:name w:val="Plain Text"/>
    <w:basedOn w:val="1"/>
    <w:link w:val="30"/>
    <w:uiPriority w:val="0"/>
    <w:rPr>
      <w:rFonts w:ascii="宋体" w:hAnsi="Courier New" w:cs="Courier New"/>
      <w:szCs w:val="21"/>
    </w:rPr>
  </w:style>
  <w:style w:type="paragraph" w:styleId="8">
    <w:name w:val="Date"/>
    <w:basedOn w:val="1"/>
    <w:next w:val="1"/>
    <w:link w:val="33"/>
    <w:uiPriority w:val="0"/>
    <w:pPr>
      <w:ind w:left="100" w:leftChars="2500"/>
    </w:pPr>
  </w:style>
  <w:style w:type="paragraph" w:styleId="9">
    <w:name w:val="Balloon Text"/>
    <w:basedOn w:val="1"/>
    <w:semiHidden/>
    <w:uiPriority w:val="0"/>
    <w:rPr>
      <w:sz w:val="18"/>
      <w:szCs w:val="18"/>
    </w:rPr>
  </w:style>
  <w:style w:type="paragraph" w:styleId="10">
    <w:name w:val="footer"/>
    <w:basedOn w:val="1"/>
    <w:link w:val="28"/>
    <w:uiPriority w:val="0"/>
    <w:pPr>
      <w:tabs>
        <w:tab w:val="center" w:pos="4153"/>
        <w:tab w:val="right" w:pos="8306"/>
      </w:tabs>
      <w:snapToGrid w:val="0"/>
      <w:jc w:val="left"/>
    </w:pPr>
    <w:rPr>
      <w:rFonts w:eastAsia="Times New Roman"/>
      <w:sz w:val="18"/>
      <w:szCs w:val="18"/>
      <w:lang/>
    </w:rPr>
  </w:style>
  <w:style w:type="paragraph" w:styleId="11">
    <w:name w:val="header"/>
    <w:basedOn w:val="1"/>
    <w:link w:val="3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2">
    <w:name w:val="toc 1"/>
    <w:basedOn w:val="1"/>
    <w:next w:val="1"/>
    <w:uiPriority w:val="0"/>
    <w:pPr>
      <w:tabs>
        <w:tab w:val="right" w:leader="dot" w:pos="8664"/>
      </w:tabs>
    </w:pPr>
    <w:rPr>
      <w:rFonts w:ascii="黑体" w:hAnsi="黑体" w:eastAsia="黑体" w:cs="黑体"/>
      <w:sz w:val="30"/>
      <w:szCs w:val="30"/>
      <w:lang/>
    </w:rPr>
  </w:style>
  <w:style w:type="paragraph" w:styleId="13">
    <w:name w:val="toc 2"/>
    <w:basedOn w:val="1"/>
    <w:next w:val="1"/>
    <w:uiPriority w:val="0"/>
    <w:pPr>
      <w:ind w:left="420" w:leftChars="200"/>
    </w:pPr>
    <w:rPr>
      <w:szCs w:val="21"/>
    </w:rPr>
  </w:style>
  <w:style w:type="paragraph" w:styleId="14">
    <w:name w:val="Normal (Web)"/>
    <w:basedOn w:val="1"/>
    <w:uiPriority w:val="0"/>
    <w:pPr>
      <w:widowControl/>
      <w:jc w:val="left"/>
    </w:pPr>
    <w:rPr>
      <w:rFonts w:ascii="宋体" w:hAnsi="宋体" w:cs="宋体"/>
      <w:kern w:val="0"/>
      <w:sz w:val="24"/>
    </w:rPr>
  </w:style>
  <w:style w:type="paragraph" w:styleId="15">
    <w:name w:val="annotation subject"/>
    <w:basedOn w:val="5"/>
    <w:next w:val="5"/>
    <w:semiHidden/>
    <w:uiPriority w:val="0"/>
    <w:rPr>
      <w:b/>
      <w:bCs/>
    </w:rPr>
  </w:style>
  <w:style w:type="paragraph" w:styleId="16">
    <w:name w:val="Body Text First Indent 2"/>
    <w:basedOn w:val="6"/>
    <w:uiPriority w:val="0"/>
    <w:pPr>
      <w:spacing w:after="120"/>
      <w:ind w:left="420" w:leftChars="200" w:firstLine="420"/>
    </w:pPr>
    <w:rPr>
      <w:rFonts w:ascii="Calibri" w:hAnsi="Calibri"/>
    </w:rPr>
  </w:style>
  <w:style w:type="table" w:styleId="18">
    <w:name w:val="Table Grid"/>
    <w:basedOn w:val="17"/>
    <w:uiPriority w:val="0"/>
    <w:rPr>
      <w:rFonts w:ascii="Calibri" w:hAnsi="Calibri" w:cs="Calibri"/>
    </w:rPr>
    <w:tblPr>
      <w:tblStyle w:val="1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rPr>
      <w:wBefore w:w="0" w:type="dxa"/>
    </w:trPr>
  </w:style>
  <w:style w:type="character" w:styleId="20">
    <w:name w:val="Strong"/>
    <w:basedOn w:val="19"/>
    <w:qFormat/>
    <w:uiPriority w:val="0"/>
    <w:rPr>
      <w:b/>
      <w:bCs/>
    </w:rPr>
  </w:style>
  <w:style w:type="character" w:styleId="21">
    <w:name w:val="page number"/>
    <w:basedOn w:val="19"/>
    <w:uiPriority w:val="0"/>
  </w:style>
  <w:style w:type="character" w:styleId="22">
    <w:name w:val="Emphasis"/>
    <w:basedOn w:val="19"/>
    <w:qFormat/>
    <w:uiPriority w:val="0"/>
    <w:rPr>
      <w:color w:val="CC0000"/>
    </w:rPr>
  </w:style>
  <w:style w:type="character" w:styleId="23">
    <w:name w:val="Hyperlink"/>
    <w:basedOn w:val="19"/>
    <w:uiPriority w:val="0"/>
    <w:rPr>
      <w:color w:val="262626"/>
      <w:u w:val="none"/>
    </w:rPr>
  </w:style>
  <w:style w:type="character" w:styleId="24">
    <w:name w:val="annotation reference"/>
    <w:basedOn w:val="19"/>
    <w:semiHidden/>
    <w:uiPriority w:val="0"/>
    <w:rPr>
      <w:sz w:val="21"/>
      <w:szCs w:val="21"/>
    </w:rPr>
  </w:style>
  <w:style w:type="character" w:customStyle="1" w:styleId="25">
    <w:name w:val=" Char Char8"/>
    <w:link w:val="2"/>
    <w:locked/>
    <w:uiPriority w:val="0"/>
    <w:rPr>
      <w:rFonts w:eastAsia="宋体"/>
      <w:b/>
      <w:bCs/>
      <w:kern w:val="44"/>
      <w:sz w:val="44"/>
      <w:szCs w:val="44"/>
      <w:lang w:bidi="ar-SA"/>
    </w:rPr>
  </w:style>
  <w:style w:type="character" w:customStyle="1" w:styleId="26">
    <w:name w:val=" Char Char7"/>
    <w:link w:val="3"/>
    <w:semiHidden/>
    <w:locked/>
    <w:uiPriority w:val="0"/>
    <w:rPr>
      <w:rFonts w:ascii="Cambria" w:hAnsi="Cambria" w:eastAsia="宋体"/>
      <w:b/>
      <w:bCs/>
      <w:kern w:val="2"/>
      <w:sz w:val="32"/>
      <w:szCs w:val="32"/>
      <w:lang w:bidi="ar-SA"/>
    </w:rPr>
  </w:style>
  <w:style w:type="character" w:customStyle="1" w:styleId="27">
    <w:name w:val=" Char Char6"/>
    <w:link w:val="4"/>
    <w:locked/>
    <w:uiPriority w:val="0"/>
    <w:rPr>
      <w:rFonts w:ascii="楷体" w:hAnsi="楷体" w:eastAsia="楷体"/>
      <w:b/>
      <w:bCs/>
      <w:kern w:val="2"/>
      <w:sz w:val="30"/>
      <w:szCs w:val="30"/>
      <w:lang w:val="en-US" w:eastAsia="zh-CN" w:bidi="ar-SA"/>
    </w:rPr>
  </w:style>
  <w:style w:type="character" w:customStyle="1" w:styleId="28">
    <w:name w:val=" Char Char1"/>
    <w:basedOn w:val="19"/>
    <w:link w:val="10"/>
    <w:uiPriority w:val="0"/>
    <w:rPr>
      <w:kern w:val="2"/>
      <w:sz w:val="18"/>
      <w:szCs w:val="18"/>
      <w:lang w:bidi="ar-SA"/>
    </w:rPr>
  </w:style>
  <w:style w:type="character" w:customStyle="1" w:styleId="29">
    <w:name w:val="Plain Text Char"/>
    <w:basedOn w:val="19"/>
    <w:locked/>
    <w:uiPriority w:val="0"/>
    <w:rPr>
      <w:rFonts w:ascii="宋体" w:hAnsi="Courier New" w:eastAsia="宋体" w:cs="Courier New"/>
      <w:kern w:val="2"/>
      <w:sz w:val="21"/>
      <w:szCs w:val="21"/>
      <w:lang w:val="en-US" w:eastAsia="zh-CN" w:bidi="ar-SA"/>
    </w:rPr>
  </w:style>
  <w:style w:type="character" w:customStyle="1" w:styleId="30">
    <w:name w:val=" Char Char2"/>
    <w:basedOn w:val="19"/>
    <w:link w:val="7"/>
    <w:locked/>
    <w:uiPriority w:val="0"/>
    <w:rPr>
      <w:rFonts w:ascii="宋体" w:hAnsi="Courier New" w:eastAsia="宋体" w:cs="Courier New"/>
      <w:kern w:val="2"/>
      <w:sz w:val="21"/>
      <w:szCs w:val="21"/>
      <w:lang w:val="en-US" w:eastAsia="zh-CN" w:bidi="ar-SA"/>
    </w:rPr>
  </w:style>
  <w:style w:type="character" w:customStyle="1" w:styleId="31">
    <w:name w:val=" Char Char4"/>
    <w:link w:val="11"/>
    <w:locked/>
    <w:uiPriority w:val="0"/>
    <w:rPr>
      <w:rFonts w:eastAsia="宋体"/>
      <w:kern w:val="2"/>
      <w:sz w:val="18"/>
      <w:szCs w:val="24"/>
      <w:lang w:val="en-US" w:eastAsia="zh-CN" w:bidi="ar-SA"/>
    </w:rPr>
  </w:style>
  <w:style w:type="paragraph" w:customStyle="1" w:styleId="32">
    <w:name w:val="p0"/>
    <w:basedOn w:val="1"/>
    <w:uiPriority w:val="0"/>
    <w:pPr>
      <w:widowControl/>
    </w:pPr>
    <w:rPr>
      <w:kern w:val="0"/>
      <w:szCs w:val="21"/>
    </w:rPr>
  </w:style>
  <w:style w:type="character" w:customStyle="1" w:styleId="33">
    <w:name w:val=" Char Char"/>
    <w:basedOn w:val="19"/>
    <w:link w:val="8"/>
    <w:uiPriority w:val="0"/>
    <w:rPr>
      <w:kern w:val="2"/>
      <w:sz w:val="21"/>
      <w:szCs w:val="24"/>
    </w:rPr>
  </w:style>
  <w:style w:type="character" w:customStyle="1" w:styleId="34">
    <w:name w:val=" Char Char5"/>
    <w:link w:val="6"/>
    <w:locked/>
    <w:uiPriority w:val="0"/>
    <w:rPr>
      <w:rFonts w:eastAsia="宋体"/>
      <w:kern w:val="2"/>
      <w:sz w:val="24"/>
      <w:szCs w:val="24"/>
      <w:lang w:bidi="ar-SA"/>
    </w:rPr>
  </w:style>
  <w:style w:type="paragraph" w:customStyle="1" w:styleId="35">
    <w:name w:val="Char Char Char Char Char Char Char Char Char Char Char Char Char Char Char Char"/>
    <w:basedOn w:val="1"/>
    <w:uiPriority w:val="0"/>
    <w:pPr>
      <w:widowControl/>
      <w:spacing w:after="160" w:line="240" w:lineRule="exact"/>
      <w:jc w:val="left"/>
    </w:pPr>
    <w:rPr>
      <w:rFonts w:ascii="Verdana" w:hAnsi="Verdana" w:eastAsia="仿宋_GB2312" w:cs="Verdana"/>
      <w:kern w:val="0"/>
      <w:sz w:val="24"/>
      <w:lang w:eastAsia="en-US"/>
    </w:rPr>
  </w:style>
  <w:style w:type="character" w:customStyle="1" w:styleId="36">
    <w:name w:val=" Char Char3"/>
    <w:locked/>
    <w:uiPriority w:val="0"/>
    <w:rPr>
      <w:rFonts w:ascii="Times New Roman" w:hAnsi="Times New Roman" w:cs="Times New Roman"/>
      <w:kern w:val="2"/>
      <w:sz w:val="18"/>
      <w:szCs w:val="18"/>
    </w:rPr>
  </w:style>
  <w:style w:type="character" w:customStyle="1" w:styleId="37">
    <w:name w:val="标题 3 Char Char"/>
    <w:uiPriority w:val="0"/>
    <w:rPr>
      <w:rFonts w:ascii="楷体" w:hAnsi="楷体" w:eastAsia="楷体" w:cs="楷体"/>
      <w:b/>
      <w:bCs/>
      <w:kern w:val="2"/>
      <w:sz w:val="30"/>
      <w:szCs w:val="30"/>
      <w:lang w:val="en-US" w:eastAsia="zh-CN"/>
    </w:rPr>
  </w:style>
  <w:style w:type="paragraph" w:customStyle="1" w:styleId="38">
    <w:name w:val="TOC 标题"/>
    <w:basedOn w:val="2"/>
    <w:next w:val="1"/>
    <w:qFormat/>
    <w:uiPriority w:val="0"/>
    <w:pPr>
      <w:widowControl/>
      <w:spacing w:before="480" w:after="0" w:line="276" w:lineRule="auto"/>
      <w:jc w:val="left"/>
      <w:outlineLvl w:val="9"/>
    </w:pPr>
    <w:rPr>
      <w:rFonts w:ascii="Cambria" w:hAnsi="Cambria" w:cs="Cambria"/>
      <w:color w:val="365F91"/>
      <w:kern w:val="0"/>
      <w:sz w:val="28"/>
      <w:szCs w:val="28"/>
    </w:rPr>
  </w:style>
  <w:style w:type="paragraph" w:customStyle="1" w:styleId="39">
    <w:name w:val="p20"/>
    <w:basedOn w:val="1"/>
    <w:uiPriority w:val="0"/>
    <w:pPr>
      <w:widowControl/>
    </w:pPr>
    <w:rPr>
      <w:kern w:val="0"/>
      <w:szCs w:val="21"/>
    </w:rPr>
  </w:style>
  <w:style w:type="paragraph" w:customStyle="1" w:styleId="40">
    <w:name w:val="列出段落"/>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WWW.YlmF.CoM</Company>
  <Pages>57</Pages>
  <Words>1258</Words>
  <Characters>1317</Characters>
  <Lines>179</Lines>
  <Paragraphs>50</Paragraphs>
  <TotalTime>0</TotalTime>
  <ScaleCrop>false</ScaleCrop>
  <LinksUpToDate>false</LinksUpToDate>
  <CharactersWithSpaces>1372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2016-06-07T07:41:00Z</dcterms:created>
  <dc:creator>雨林木风</dc:creator>
  <cp:lastModifiedBy>阿姝</cp:lastModifiedBy>
  <cp:lastPrinted>2016-06-07T07:36:00Z</cp:lastPrinted>
  <dcterms:modified xsi:type="dcterms:W3CDTF">2026-06-11T01:08:26Z</dcterms:modified>
  <dc:title>发扬创业精神  践行群众路线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227565285B2F44C4AEE38ED9895B7A96_13</vt:lpwstr>
  </property>
</Properties>
</file>