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66BD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DBDBDB" w:sz="12" w:space="7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 w14:paraId="1BDEBF5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DBDBDB" w:sz="12" w:space="7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大连市西岗区司法局行政执法案卷</w:t>
      </w:r>
    </w:p>
    <w:p w14:paraId="5BEDFA1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DBDBDB" w:sz="12" w:space="7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管理办法</w:t>
      </w:r>
    </w:p>
    <w:p w14:paraId="4031238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p w14:paraId="3347DFF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第一条 为加强行政执法案卷管理工作，进一步规范行政执法行为，根据《中华人民共和国档案法》《中华人民共和国行政许可法》《中华人民共和国行政处罚法》《辽宁省档案条例》等相关法律法规规章，结合本局工作实际，制定本办法。</w:t>
      </w:r>
    </w:p>
    <w:p w14:paraId="43DBA1D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第二条 本办法适用于本局行政执法案卷材料的收集、整理、归档、保管、利用等工作。法律、法规、规章或者国家部委文件另有规定的，从其规定。本办法所称行政执法案卷，是指行政执法主体在实施行政处罚、行政许可、行政检查等行政执法过程中直接形成，反映行政执法情况、体现行政执法全过程、具有保存价值的各类载体、形式的行政执法文书、证据等历史记录材料，经收集、整理、归档后形成的卷宗，包括通过行政执法信息系统生成的行政执法电子卷宗。</w:t>
      </w:r>
    </w:p>
    <w:p w14:paraId="01E80F0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 xml:space="preserve">第三条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法制科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对本局各业务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科室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行政执法案卷制作予以指导、监督。</w:t>
      </w:r>
    </w:p>
    <w:p w14:paraId="4FF523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第四条 各业务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科室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应当指派专人负责本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科室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行政执法案卷管理工作。</w:t>
      </w:r>
    </w:p>
    <w:p w14:paraId="3F298ED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第五条 行政执法事项办结后 1 个月内，相关业务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科室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应当按照《辽宁省行政执法全过程记录实施办法》有关要求立卷，形成行政执法案卷。</w:t>
      </w:r>
    </w:p>
    <w:p w14:paraId="7DAB2FD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第六条 行政执法案卷归档范围，参照《机关文件材料归档范围和文书档案保管期限规定》《辽宁省行政执法全过程记录实施办法》等相关规定执行。</w:t>
      </w:r>
    </w:p>
    <w:p w14:paraId="06BCC87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第七条 行政执法案卷归档、整理原则上实行一案一卷，按照行政执法行为类别、年度依次排序。材料数量较多的案卷，可以一案多卷，每卷单独编制卷号。案卷涉及国家秘密、商业秘密、个人隐私的，依照相关法律法规规定实行分类管控，可分设正卷、副卷。正卷收录案件办理过程中形成的证据材料，可按规定对外提供利用；副卷收录案件承办过程中形成的内部工作文书材料，一般不对外提供利用。适用简易程序、行政检查等材料较少的案卷，可按照类别、时间、事由分类归集，实行一案一卷。行政处罚相关的投诉举报办理、行政检查文书材料，归入对应行政处罚卷宗，不单独立卷。</w:t>
      </w:r>
    </w:p>
    <w:p w14:paraId="077AD33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第八条 归档材料应当内容真实、签署完备、印鉴齐全，任何单位和个人不得涂改、伪造、损毁行政执法案卷材料。案件承办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科室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、承办人员对归档材料的完整性、准确性、系统性承担责任。归档材料存在缺失、不符合立卷要求的，应当及时补齐、修正。归档材料中的复印件、影印件、抄录本，经与原件核对无误的，加盖 “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本件与原件相符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” 证明章，注明核对日期、证据来源，并由行政执法人员签字确认；依据规定无需核对原件，仅对材料信息采取其他核验方式的，不加盖前述证明章。</w:t>
      </w:r>
    </w:p>
    <w:p w14:paraId="334A49D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第九条 卷内材料可按照形成时间先后顺序排列，也可按照结论性文书、证据材料、其他配套材料的顺序分类排列。</w:t>
      </w:r>
    </w:p>
    <w:p w14:paraId="4030B94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第十条 行政执法案卷收集、整理应当符合档案管理行业标准，严格执行现行档案管理规范。能够装订入卷的物证原则上随卷装订；无法装订的，装入证物袋，标注证物名称、数量、特征、来源等信息后附卷留存。不便随卷保存的物证以及照片、录音录像、电子数据等材料，统一规范归集保管，并在卷内备考表注明材料内容、数量、形成时间、存放地点、保管责任人等信息。</w:t>
      </w:r>
    </w:p>
    <w:p w14:paraId="2572652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第十一条 已完成归档的行政执法案卷，严禁擅自修改、增删卷内材料。确需补充案卷材料的，须经本局负责人书面同意，按照立卷归档规范补充，并书面说明补充事由。</w:t>
      </w:r>
    </w:p>
    <w:p w14:paraId="086D60B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第十二条 行政执法案卷原则上不得外借。因行政复议、行政诉讼、专项执法检查、案卷评查等工作需要借阅案卷的，应当经本局负责人批准。查阅人员不得拆卷、抽取材料，不得涂改、勾画、污损案卷，确保案卷完整无损；损毁案卷的，依照相关规定追究责任。</w:t>
      </w:r>
    </w:p>
    <w:p w14:paraId="500742A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第十三条 行政执法案卷不向社会公开开放。单位、个人确需查阅案卷的，应当按规定办理查阅手续，经批准后在档案保管场所现场查阅。查阅过程中如需摘抄、复印案卷相关内容，须经本局负责人批准，并在查阅登记台账中注明查阅用途。</w:t>
      </w:r>
    </w:p>
    <w:p w14:paraId="431A3F5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第十四条 各业务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科室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应当对保管期限届满的行政执法案卷组织开展鉴定、销毁工作。未经鉴定程序，任何单位和个人不得擅自销毁案卷。经鉴定仍具有保存价值的案卷，延长保管期限继续留存；经鉴定无保存价值的案卷，制作案卷销毁清册、起草销毁报告，报本局主要负责人批准后方可实施销毁。</w:t>
      </w:r>
    </w:p>
    <w:p w14:paraId="3875F5E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第十五条 销毁行政执法案卷，由本局档案管理岗位与对应业务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科室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共同指派人员监销，监销人员不少于两名。监销人员全程监督销毁流程，销毁前对照销毁清册逐项核对案卷信息，确认无误后方可销毁；销毁完成后在销毁清册签字或盖章，注明销毁日期。案卷销毁清册、销毁报告永久归档保存。</w:t>
      </w:r>
    </w:p>
    <w:p w14:paraId="1DF9112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第十六条 按照档案管理相关规定，达到移交期限的行政执法纸质案卷与配套电子卷宗，由业务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科室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统一整理后移交本局档案管理人员集中保管。</w:t>
      </w:r>
    </w:p>
    <w:p w14:paraId="5C267B9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第十七条 案卷移交时应当制作案卷移交清单，列明案卷年度、卷号、案件名称、卷数、保管期限、电子卷宗存储介质等内容，移交人、接收人核对无误后共同签字留存，移交清单永久保管。</w:t>
      </w:r>
      <w:bookmarkStart w:id="0" w:name="_GoBack"/>
      <w:bookmarkEnd w:id="0"/>
    </w:p>
    <w:p w14:paraId="052E19E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十八条 机构调整、人员岗位变动的，案卷管理责任人须在15日内完成全部案卷、电子数据、音像资料的交接工作，填写案卷交接登记表，未完成交接不得离岗。</w:t>
      </w:r>
    </w:p>
    <w:p w14:paraId="0509220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DE088961-F2DE-46B2-9D00-38C85F25ED14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B21D5A"/>
    <w:rsid w:val="230D0ADB"/>
    <w:rsid w:val="70E2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2051</Words>
  <Characters>2070</Characters>
  <Lines>0</Lines>
  <Paragraphs>0</Paragraphs>
  <TotalTime>8</TotalTime>
  <ScaleCrop>false</ScaleCrop>
  <LinksUpToDate>false</LinksUpToDate>
  <CharactersWithSpaces>2110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2026-07-08T09:04:00Z</dcterms:created>
  <dc:creator>lenovo</dc:creator>
  <cp:lastModifiedBy>sunny</cp:lastModifiedBy>
  <dcterms:modified xsi:type="dcterms:W3CDTF">2026-07-13T01:41:48Z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eyJoZGlkIjoiMjY1MWY4ZDUyNTQ5MjUwNTgyMjU3ODhlYjgxMzk1NzgiLCJ1c2VySWQiOiI5MjIwOTE4ODkifQ==</vt:lpwstr>
  </property>
  <property fmtid="{D5CDD505-2E9C-101B-9397-08002B2CF9AE}" pid="4" name="ICV">
    <vt:lpwstr>0696D18B6E6D4EBEAC86F1E7A11A9F15_12</vt:lpwstr>
  </property>
</Properties>
</file>